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A61B0">
      <w:pPr>
        <w:pStyle w:val="90"/>
        <w:framePr w:wrap="around"/>
        <w:rPr>
          <w:rFonts w:hAnsi="黑体"/>
          <w:color w:val="auto"/>
          <w:highlight w:val="none"/>
        </w:rPr>
      </w:pPr>
      <w:r>
        <w:rPr>
          <w:rFonts w:hAnsi="黑体"/>
          <w:color w:val="auto"/>
          <w:highlight w:val="none"/>
        </w:rPr>
        <w:t>ICS</w:t>
      </w:r>
      <w:bookmarkStart w:id="0" w:name="ICS"/>
      <w:r>
        <w:rPr>
          <w:rFonts w:hint="eastAsia" w:hAnsi="黑体"/>
          <w:color w:val="auto"/>
          <w:highlight w:val="none"/>
        </w:rPr>
        <w:t xml:space="preserve"> </w:t>
      </w:r>
      <w:bookmarkEnd w:id="0"/>
      <w:r>
        <w:rPr>
          <w:rFonts w:hAnsi="黑体"/>
          <w:color w:val="auto"/>
          <w:highlight w:val="none"/>
        </w:rPr>
        <w:t>43</w:t>
      </w:r>
      <w:r>
        <w:rPr>
          <w:rFonts w:hint="eastAsia" w:hAnsi="黑体"/>
          <w:color w:val="auto"/>
          <w:highlight w:val="none"/>
        </w:rPr>
        <w:t>.</w:t>
      </w:r>
      <w:r>
        <w:rPr>
          <w:rFonts w:hAnsi="黑体"/>
          <w:color w:val="auto"/>
          <w:highlight w:val="none"/>
        </w:rPr>
        <w:t>14</w:t>
      </w:r>
      <w:r>
        <w:rPr>
          <w:rFonts w:hint="eastAsia" w:hAnsi="黑体"/>
          <w:color w:val="auto"/>
          <w:highlight w:val="none"/>
        </w:rPr>
        <w:t>0</w:t>
      </w:r>
    </w:p>
    <w:p w14:paraId="77E28F0D">
      <w:pPr>
        <w:pStyle w:val="90"/>
        <w:framePr w:wrap="around"/>
        <w:rPr>
          <w:rFonts w:hAnsi="黑体"/>
          <w:color w:val="auto"/>
          <w:highlight w:val="none"/>
        </w:rPr>
      </w:pPr>
      <w:r>
        <w:rPr>
          <w:rFonts w:hint="eastAsia" w:hAnsi="黑体"/>
          <w:color w:val="auto"/>
          <w:highlight w:val="none"/>
        </w:rPr>
        <w:t>C</w:t>
      </w:r>
      <w:r>
        <w:rPr>
          <w:rFonts w:hAnsi="黑体"/>
          <w:color w:val="auto"/>
          <w:highlight w:val="none"/>
        </w:rPr>
        <w:t xml:space="preserve">CS </w:t>
      </w:r>
      <w:r>
        <w:rPr>
          <w:color w:val="auto"/>
          <w:highlight w:val="none"/>
        </w:rPr>
        <w:drawing>
          <wp:anchor distT="0" distB="0" distL="114300" distR="114300" simplePos="0" relativeHeight="251662336" behindDoc="1" locked="0" layoutInCell="1" allowOverlap="1">
            <wp:simplePos x="0" y="0"/>
            <wp:positionH relativeFrom="column">
              <wp:align>right</wp:align>
            </wp:positionH>
            <wp:positionV relativeFrom="margin">
              <wp:align>top</wp:align>
            </wp:positionV>
            <wp:extent cx="2162810" cy="962025"/>
            <wp:effectExtent l="0" t="0" r="0" b="0"/>
            <wp:wrapNone/>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162810" cy="962025"/>
                    </a:xfrm>
                    <a:prstGeom prst="rect">
                      <a:avLst/>
                    </a:prstGeom>
                    <a:noFill/>
                  </pic:spPr>
                </pic:pic>
              </a:graphicData>
            </a:graphic>
          </wp:anchor>
        </w:drawing>
      </w:r>
      <w:r>
        <w:rPr>
          <w:rFonts w:hint="eastAsia" w:hAnsi="黑体"/>
          <w:color w:val="auto"/>
          <w:highlight w:val="none"/>
        </w:rPr>
        <w:t>T</w:t>
      </w:r>
      <w:r>
        <w:rPr>
          <w:rFonts w:hAnsi="黑体"/>
          <w:color w:val="auto"/>
          <w:highlight w:val="none"/>
        </w:rPr>
        <w:t xml:space="preserve"> 80</w:t>
      </w:r>
    </w:p>
    <w:p w14:paraId="4996D823">
      <w:pPr>
        <w:pStyle w:val="96"/>
        <w:framePr w:wrap="around" w:y="3120"/>
        <w:rPr>
          <w:rFonts w:hAnsi="黑体"/>
          <w:color w:val="auto"/>
          <w:highlight w:val="none"/>
        </w:rPr>
      </w:pPr>
      <w:r>
        <w:rPr>
          <w:rFonts w:hAnsi="黑体"/>
          <w:color w:val="auto"/>
          <w:highlight w:val="none"/>
        </w:rPr>
        <w:t xml:space="preserve">T/ZAQ </w:t>
      </w:r>
      <w:r>
        <w:rPr>
          <w:rFonts w:hint="eastAsia" w:hAnsi="黑体"/>
          <w:color w:val="auto"/>
          <w:highlight w:val="none"/>
        </w:rPr>
        <w:t>XXXX</w:t>
      </w:r>
      <w:r>
        <w:rPr>
          <w:rFonts w:ascii="Times New Roman"/>
          <w:color w:val="auto"/>
          <w:highlight w:val="none"/>
        </w:rPr>
        <w:t>—</w:t>
      </w:r>
      <w:r>
        <w:rPr>
          <w:rFonts w:hint="eastAsia" w:hAnsi="黑体"/>
          <w:color w:val="auto"/>
          <w:highlight w:val="none"/>
        </w:rPr>
        <w:t>202</w:t>
      </w:r>
      <w:r>
        <w:rPr>
          <w:rFonts w:hAnsi="黑体"/>
          <w:color w:val="auto"/>
          <w:highlight w:val="none"/>
        </w:rPr>
        <w:t>4</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F48D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AEE9EA4">
            <w:pPr>
              <w:pStyle w:val="120"/>
              <w:framePr w:wrap="around" w:y="3120"/>
              <w:rPr>
                <w:rFonts w:ascii="Times New Roman"/>
                <w:color w:val="auto"/>
                <w:highlight w:val="none"/>
              </w:rPr>
            </w:pPr>
            <w:bookmarkStart w:id="1" w:name="DT"/>
            <w:r>
              <w:rPr>
                <w:color w:val="auto"/>
                <w:highlight w:val="none"/>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85508674" name="矩形 3"/>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3"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mDyy9YA&#10;AAAIAQAADwAAAAAAAAABACAAAAAiAAAAZHJzL2Rvd25yZXYueG1sUEsBAhQAFAAAAAgAh07iQIwP&#10;AJUhAgAALgQAAA4AAAAAAAAAAQAgAAAAJQEAAGRycy9lMm9Eb2MueG1sUEsFBgAAAAAGAAYAWQEA&#10;ALgFAAAAAA==&#10;">
                      <v:fill on="t" focussize="0,0"/>
                      <v:stroke on="f"/>
                      <v:imagedata o:title=""/>
                      <o:lock v:ext="edit" aspectratio="f"/>
                    </v:rect>
                  </w:pict>
                </mc:Fallback>
              </mc:AlternateContent>
            </w:r>
            <w:bookmarkEnd w:id="1"/>
            <w:r>
              <w:rPr>
                <w:rFonts w:hint="eastAsia" w:ascii="黑体" w:hAnsi="黑体" w:eastAsia="黑体"/>
                <w:color w:val="auto"/>
                <w:highlight w:val="none"/>
              </w:rPr>
              <w:t>代替 T/Z</w:t>
            </w:r>
            <w:r>
              <w:rPr>
                <w:rFonts w:ascii="黑体" w:hAnsi="黑体" w:eastAsia="黑体"/>
                <w:color w:val="auto"/>
                <w:highlight w:val="none"/>
              </w:rPr>
              <w:t>AQ</w:t>
            </w:r>
            <w:r>
              <w:rPr>
                <w:rFonts w:hint="eastAsia" w:ascii="黑体" w:hAnsi="黑体" w:eastAsia="黑体"/>
                <w:color w:val="auto"/>
                <w:highlight w:val="none"/>
              </w:rPr>
              <w:t xml:space="preserve"> XXXX</w:t>
            </w:r>
            <w:r>
              <w:rPr>
                <w:rFonts w:ascii="Times New Roman"/>
                <w:color w:val="auto"/>
                <w:highlight w:val="none"/>
              </w:rPr>
              <w:t>—</w:t>
            </w:r>
            <w:r>
              <w:rPr>
                <w:rFonts w:hint="eastAsia" w:ascii="黑体" w:hAnsi="黑体" w:eastAsia="黑体"/>
                <w:color w:val="auto"/>
                <w:highlight w:val="none"/>
              </w:rPr>
              <w:t>XXXX</w:t>
            </w:r>
          </w:p>
        </w:tc>
      </w:tr>
    </w:tbl>
    <w:p w14:paraId="5784A5CF">
      <w:pPr>
        <w:pStyle w:val="96"/>
        <w:framePr w:wrap="around" w:y="3120"/>
        <w:rPr>
          <w:rFonts w:ascii="Times New Roman"/>
          <w:color w:val="auto"/>
          <w:highlight w:val="none"/>
        </w:rPr>
      </w:pPr>
    </w:p>
    <w:p w14:paraId="16D9E492">
      <w:pPr>
        <w:pStyle w:val="96"/>
        <w:framePr w:wrap="around" w:y="3120"/>
        <w:rPr>
          <w:rFonts w:ascii="Times New Roman"/>
          <w:color w:val="auto"/>
          <w:highlight w:val="none"/>
        </w:rPr>
      </w:pPr>
    </w:p>
    <w:p w14:paraId="40227DDF">
      <w:pPr>
        <w:framePr w:w="9639" w:h="6917" w:hRule="exact" w:wrap="around" w:vAnchor="page" w:hAnchor="page" w:x="1403" w:y="6340" w:anchorLock="1"/>
        <w:jc w:val="center"/>
        <w:rPr>
          <w:rFonts w:hint="eastAsia" w:ascii="黑体" w:hAnsi="黑体" w:eastAsia="黑体"/>
          <w:color w:val="auto"/>
          <w:highlight w:val="none"/>
          <w:lang w:eastAsia="zh-CN"/>
        </w:rPr>
      </w:pPr>
      <w:r>
        <w:rPr>
          <w:rFonts w:ascii="黑体" w:hAnsi="黑体" w:eastAsia="黑体"/>
          <w:color w:val="auto"/>
          <w:sz w:val="52"/>
          <w:szCs w:val="52"/>
          <w:highlight w:val="none"/>
        </w:rPr>
        <w:t>电动两轮</w:t>
      </w:r>
      <w:r>
        <w:rPr>
          <w:rFonts w:hint="eastAsia" w:ascii="黑体" w:hAnsi="黑体" w:eastAsia="黑体"/>
          <w:color w:val="auto"/>
          <w:sz w:val="52"/>
          <w:szCs w:val="52"/>
          <w:highlight w:val="none"/>
          <w:lang w:eastAsia="zh-CN"/>
        </w:rPr>
        <w:t>越野摩托车</w:t>
      </w:r>
    </w:p>
    <w:p w14:paraId="06439CC5">
      <w:pPr>
        <w:framePr w:w="9639" w:h="6917" w:hRule="exact" w:wrap="around" w:vAnchor="page" w:hAnchor="page" w:x="1403" w:y="6340" w:anchorLock="1"/>
        <w:jc w:val="center"/>
        <w:rPr>
          <w:rFonts w:ascii="黑体" w:hAnsi="黑体" w:eastAsia="黑体"/>
          <w:color w:val="auto"/>
          <w:sz w:val="28"/>
          <w:highlight w:val="none"/>
        </w:rPr>
      </w:pPr>
      <w:r>
        <w:t>Electric Two‑Wheeled Off‑Road Motorcycle</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7941A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6AE1F35A">
            <w:pPr>
              <w:pStyle w:val="61"/>
              <w:framePr w:wrap="around" w:x="1403" w:y="6340"/>
              <w:rPr>
                <w:rFonts w:ascii="Times New Roman"/>
                <w:color w:val="auto"/>
                <w:highlight w:val="none"/>
              </w:rPr>
            </w:pPr>
            <w:r>
              <w:rPr>
                <w:rFonts w:hint="eastAsia" w:ascii="Times New Roman"/>
                <w:color w:val="auto"/>
                <w:highlight w:val="none"/>
              </w:rPr>
              <w:t>（草案）</w:t>
            </w:r>
          </w:p>
        </w:tc>
      </w:tr>
      <w:tr w14:paraId="298B0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680882B3">
            <w:pPr>
              <w:pStyle w:val="60"/>
              <w:framePr w:wrap="around" w:x="1403" w:y="6340"/>
              <w:rPr>
                <w:rFonts w:ascii="Times New Roman"/>
                <w:color w:val="auto"/>
                <w:highlight w:val="none"/>
              </w:rPr>
            </w:pPr>
          </w:p>
        </w:tc>
      </w:tr>
    </w:tbl>
    <w:p w14:paraId="5511B2EB">
      <w:pPr>
        <w:pStyle w:val="124"/>
        <w:framePr w:wrap="around" w:xAlign="left"/>
        <w:rPr>
          <w:rFonts w:ascii="黑体" w:hAnsi="黑体"/>
          <w:color w:val="auto"/>
          <w:highlight w:val="none"/>
        </w:rPr>
      </w:pPr>
      <w:r>
        <w:rPr>
          <w:rFonts w:hint="eastAsia" w:ascii="黑体" w:hAnsi="黑体"/>
          <w:color w:val="auto"/>
          <w:highlight w:val="none"/>
        </w:rPr>
        <w:t>XXXX</w:t>
      </w:r>
      <w:r>
        <w:rPr>
          <w:color w:val="auto"/>
          <w:highlight w:val="none"/>
        </w:rPr>
        <w:t xml:space="preserve"> </w:t>
      </w:r>
      <w:r>
        <w:rPr>
          <w:rFonts w:ascii="黑体" w:hAnsi="黑体"/>
          <w:color w:val="auto"/>
          <w:highlight w:val="none"/>
        </w:rPr>
        <w:t>-</w:t>
      </w:r>
      <w:r>
        <w:rPr>
          <w:color w:val="auto"/>
          <w:highlight w:val="none"/>
        </w:rPr>
        <w:t xml:space="preserve"> </w:t>
      </w:r>
      <w:r>
        <w:rPr>
          <w:rFonts w:hint="eastAsia" w:ascii="黑体" w:hAnsi="黑体"/>
          <w:color w:val="auto"/>
          <w:highlight w:val="none"/>
        </w:rPr>
        <w:t>XX</w:t>
      </w:r>
      <w:r>
        <w:rPr>
          <w:color w:val="auto"/>
          <w:highlight w:val="none"/>
        </w:rPr>
        <w:t xml:space="preserve"> </w:t>
      </w:r>
      <w:r>
        <w:rPr>
          <w:rFonts w:ascii="黑体" w:hAnsi="黑体"/>
          <w:color w:val="auto"/>
          <w:highlight w:val="none"/>
        </w:rPr>
        <w:t>-</w:t>
      </w:r>
      <w:r>
        <w:rPr>
          <w:color w:val="auto"/>
          <w:highlight w:val="none"/>
        </w:rPr>
        <w:t xml:space="preserve"> </w:t>
      </w:r>
      <w:r>
        <w:rPr>
          <w:rFonts w:hint="eastAsia" w:ascii="黑体" w:hAnsi="黑体"/>
          <w:color w:val="auto"/>
          <w:highlight w:val="none"/>
        </w:rPr>
        <w:t>XX</w:t>
      </w:r>
      <w:r>
        <w:rPr>
          <w:rFonts w:ascii="黑体" w:hAnsi="黑体"/>
          <w:color w:val="auto"/>
          <w:highlight w:val="none"/>
        </w:rPr>
        <w:t>发布</w:t>
      </w:r>
      <w:r>
        <w:rPr>
          <w:color w:val="auto"/>
          <w:highlight w:val="none"/>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0" b="0"/>
                <wp:wrapNone/>
                <wp:docPr id="170324673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LS/z1wAAAAsBAAAPAAAAAAAAAAEAIAAAACIAAABkcnMvZG93bnJldi54bWxQSwECFAAUAAAACACH&#10;TuJAag9HkOwBAACzAwAADgAAAAAAAAABACAAAAAmAQAAZHJzL2Uyb0RvYy54bWxQSwUGAAAAAAYA&#10;BgBZAQAAhAUAAAAA&#10;">
                <v:fill on="f" focussize="0,0"/>
                <v:stroke color="#000000" joinstyle="round"/>
                <v:imagedata o:title=""/>
                <o:lock v:ext="edit" aspectratio="f"/>
                <w10:anchorlock/>
              </v:line>
            </w:pict>
          </mc:Fallback>
        </mc:AlternateContent>
      </w:r>
    </w:p>
    <w:p w14:paraId="2309B96A">
      <w:pPr>
        <w:pStyle w:val="138"/>
        <w:framePr w:wrap="around" w:xAlign="right"/>
        <w:rPr>
          <w:rFonts w:ascii="黑体" w:hAnsi="黑体"/>
          <w:color w:val="auto"/>
          <w:highlight w:val="none"/>
        </w:rPr>
      </w:pPr>
      <w:r>
        <w:rPr>
          <w:rFonts w:hint="eastAsia" w:ascii="黑体" w:hAnsi="黑体"/>
          <w:color w:val="auto"/>
          <w:highlight w:val="none"/>
        </w:rPr>
        <w:t>XXXX</w:t>
      </w:r>
      <w:r>
        <w:rPr>
          <w:color w:val="auto"/>
          <w:highlight w:val="none"/>
        </w:rPr>
        <w:t xml:space="preserve"> </w:t>
      </w:r>
      <w:r>
        <w:rPr>
          <w:rFonts w:ascii="黑体" w:hAnsi="黑体"/>
          <w:color w:val="auto"/>
          <w:highlight w:val="none"/>
        </w:rPr>
        <w:t>-</w:t>
      </w:r>
      <w:r>
        <w:rPr>
          <w:color w:val="auto"/>
          <w:highlight w:val="none"/>
        </w:rPr>
        <w:t xml:space="preserve"> </w:t>
      </w:r>
      <w:r>
        <w:rPr>
          <w:rFonts w:hint="eastAsia" w:ascii="黑体" w:hAnsi="黑体"/>
          <w:color w:val="auto"/>
          <w:highlight w:val="none"/>
        </w:rPr>
        <w:t>XX</w:t>
      </w:r>
      <w:r>
        <w:rPr>
          <w:color w:val="auto"/>
          <w:highlight w:val="none"/>
        </w:rPr>
        <w:t xml:space="preserve"> </w:t>
      </w:r>
      <w:r>
        <w:rPr>
          <w:rFonts w:ascii="黑体" w:hAnsi="黑体"/>
          <w:color w:val="auto"/>
          <w:highlight w:val="none"/>
        </w:rPr>
        <w:t>-</w:t>
      </w:r>
      <w:r>
        <w:rPr>
          <w:color w:val="auto"/>
          <w:highlight w:val="none"/>
        </w:rPr>
        <w:t xml:space="preserve"> </w:t>
      </w:r>
      <w:r>
        <w:rPr>
          <w:rFonts w:hint="eastAsia" w:ascii="黑体" w:hAnsi="黑体"/>
          <w:color w:val="auto"/>
          <w:highlight w:val="none"/>
        </w:rPr>
        <w:t>XX</w:t>
      </w:r>
      <w:r>
        <w:rPr>
          <w:rFonts w:ascii="黑体" w:hAnsi="黑体"/>
          <w:color w:val="auto"/>
          <w:highlight w:val="none"/>
        </w:rPr>
        <w:t>实施</w:t>
      </w:r>
    </w:p>
    <w:p w14:paraId="471ADB65">
      <w:pPr>
        <w:pStyle w:val="119"/>
        <w:framePr w:wrap="around"/>
        <w:rPr>
          <w:color w:val="auto"/>
          <w:highlight w:val="none"/>
        </w:rPr>
      </w:pPr>
      <w:r>
        <w:rPr>
          <w:rFonts w:hint="eastAsia"/>
          <w:color w:val="auto"/>
          <w:highlight w:val="none"/>
        </w:rPr>
        <w:t>浙江省质量协会</w:t>
      </w:r>
      <w:r>
        <w:rPr>
          <w:rFonts w:hint="eastAsia"/>
          <w:color w:val="auto"/>
          <w:spacing w:val="0"/>
          <w:w w:val="100"/>
          <w:highlight w:val="none"/>
        </w:rPr>
        <w:t>  </w:t>
      </w:r>
      <w:r>
        <w:rPr>
          <w:rStyle w:val="50"/>
          <w:rFonts w:hint="eastAsia"/>
          <w:color w:val="auto"/>
          <w:highlight w:val="none"/>
        </w:rPr>
        <w:t>发布</w:t>
      </w:r>
    </w:p>
    <w:p w14:paraId="6C5F7AE5">
      <w:pPr>
        <w:pStyle w:val="123"/>
        <w:framePr w:w="6804" w:wrap="around" w:hAnchor="text" w:xAlign="center"/>
        <w:rPr>
          <w:rFonts w:ascii="Times New Roman" w:hAnsi="Times New Roman"/>
          <w:color w:val="auto"/>
          <w:sz w:val="72"/>
          <w:highlight w:val="none"/>
        </w:rPr>
      </w:pPr>
      <w:r>
        <w:rPr>
          <w:rFonts w:hint="eastAsia"/>
          <w:color w:val="auto"/>
          <w:sz w:val="72"/>
          <w:highlight w:val="none"/>
        </w:rPr>
        <w:t>团体标</w:t>
      </w:r>
      <w:r>
        <w:rPr>
          <w:rFonts w:hint="eastAsia" w:ascii="Times New Roman" w:hAnsi="Times New Roman"/>
          <w:color w:val="auto"/>
          <w:sz w:val="72"/>
          <w:highlight w:val="none"/>
        </w:rPr>
        <w:t>准</w:t>
      </w:r>
    </w:p>
    <w:p w14:paraId="0434EAEE">
      <w:pPr>
        <w:pStyle w:val="27"/>
        <w:ind w:firstLine="0" w:firstLineChars="0"/>
        <w:rPr>
          <w:rFonts w:ascii="Times New Roman"/>
          <w:color w:val="auto"/>
          <w:highlight w:val="none"/>
        </w:rPr>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55687544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dbw&#10;CNcAAAAJAQAADwAAAAAAAAABACAAAAAiAAAAZHJzL2Rvd25yZXYueG1sUEsBAhQAFAAAAAgAh07i&#10;QC49v33qAQAAsgMAAA4AAAAAAAAAAQAgAAAAJgEAAGRycy9lMm9Eb2MueG1sUEsFBgAAAAAGAAYA&#10;WQEAAIIFAAAAAA==&#10;">
                <v:fill on="f" focussize="0,0"/>
                <v:stroke color="#000000" joinstyle="round"/>
                <v:imagedata o:title=""/>
                <o:lock v:ext="edit" aspectratio="f"/>
              </v:line>
            </w:pict>
          </mc:Fallback>
        </mc:AlternateContent>
      </w:r>
    </w:p>
    <w:p w14:paraId="2504D1FE">
      <w:pPr>
        <w:pStyle w:val="132"/>
        <w:shd w:val="clear" w:color="FFFFFF" w:fill="FFFFFF"/>
        <w:rPr>
          <w:rFonts w:hint="eastAsia"/>
          <w:color w:val="auto"/>
          <w:highlight w:val="none"/>
          <w:lang w:eastAsia="zh-CN"/>
        </w:rPr>
      </w:pPr>
      <w:bookmarkStart w:id="2" w:name="_Toc32000"/>
      <w:bookmarkStart w:id="3" w:name="BookMark1"/>
      <w:bookmarkStart w:id="4" w:name="_Toc21516966"/>
      <w:bookmarkStart w:id="5" w:name="_Toc19875974"/>
      <w:bookmarkStart w:id="6" w:name="_Toc489260164"/>
      <w:bookmarkStart w:id="7" w:name="_Toc489260114"/>
      <w:bookmarkStart w:id="8" w:name="_Toc19826642"/>
      <w:bookmarkStart w:id="9" w:name="_Toc19828130"/>
      <w:bookmarkStart w:id="10" w:name="_Toc1122"/>
      <w:bookmarkStart w:id="11" w:name="_Toc19828164"/>
      <w:bookmarkStart w:id="12" w:name="_Toc19828079"/>
      <w:r>
        <w:rPr>
          <w:rFonts w:hint="eastAsia"/>
          <w:color w:val="auto"/>
          <w:spacing w:val="318"/>
          <w:highlight w:val="none"/>
          <w:lang w:eastAsia="zh-CN"/>
        </w:rPr>
        <w:t>目</w:t>
      </w:r>
      <w:r>
        <w:rPr>
          <w:rFonts w:hint="eastAsia"/>
          <w:color w:val="auto"/>
          <w:highlight w:val="none"/>
          <w:lang w:eastAsia="zh-CN"/>
        </w:rPr>
        <w:t>次</w:t>
      </w:r>
      <w:bookmarkEnd w:id="2"/>
    </w:p>
    <w:p w14:paraId="4BF2CC17">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TOC \o "1-2" \h \u </w:instrText>
      </w:r>
      <w:r>
        <w:rPr>
          <w:rFonts w:hint="default"/>
          <w:color w:val="auto"/>
          <w:highlight w:val="none"/>
          <w:lang w:eastAsia="zh-CN"/>
        </w:rPr>
        <w:fldChar w:fldCharType="separate"/>
      </w:r>
      <w:r>
        <w:rPr>
          <w:rFonts w:hint="default"/>
          <w:color w:val="auto"/>
          <w:highlight w:val="none"/>
          <w:lang w:eastAsia="zh-CN"/>
        </w:rPr>
        <w:fldChar w:fldCharType="begin"/>
      </w:r>
      <w:r>
        <w:rPr>
          <w:rFonts w:hint="default"/>
          <w:color w:val="auto"/>
          <w:highlight w:val="none"/>
          <w:lang w:eastAsia="zh-CN"/>
        </w:rPr>
        <w:instrText xml:space="preserve"> HYPERLINK \l _Toc32000 </w:instrText>
      </w:r>
      <w:r>
        <w:rPr>
          <w:rFonts w:hint="default"/>
          <w:color w:val="auto"/>
          <w:highlight w:val="none"/>
          <w:lang w:eastAsia="zh-CN"/>
        </w:rPr>
        <w:fldChar w:fldCharType="separate"/>
      </w:r>
      <w:r>
        <w:rPr>
          <w:rFonts w:hint="eastAsia"/>
          <w:color w:val="auto"/>
          <w:highlight w:val="none"/>
          <w:lang w:eastAsia="zh-CN"/>
        </w:rPr>
        <w:t>目次</w:t>
      </w:r>
      <w:r>
        <w:rPr>
          <w:color w:val="auto"/>
          <w:highlight w:val="none"/>
        </w:rPr>
        <w:tab/>
      </w:r>
      <w:r>
        <w:rPr>
          <w:color w:val="auto"/>
          <w:highlight w:val="none"/>
        </w:rPr>
        <w:fldChar w:fldCharType="begin"/>
      </w:r>
      <w:r>
        <w:rPr>
          <w:color w:val="auto"/>
          <w:highlight w:val="none"/>
        </w:rPr>
        <w:instrText xml:space="preserve"> PAGEREF _Toc32000 \h </w:instrText>
      </w:r>
      <w:r>
        <w:rPr>
          <w:color w:val="auto"/>
          <w:highlight w:val="none"/>
        </w:rPr>
        <w:fldChar w:fldCharType="separate"/>
      </w:r>
      <w:r>
        <w:rPr>
          <w:color w:val="auto"/>
          <w:highlight w:val="none"/>
        </w:rPr>
        <w:t>I</w:t>
      </w:r>
      <w:r>
        <w:rPr>
          <w:color w:val="auto"/>
          <w:highlight w:val="none"/>
        </w:rPr>
        <w:fldChar w:fldCharType="end"/>
      </w:r>
      <w:r>
        <w:rPr>
          <w:rFonts w:hint="default"/>
          <w:color w:val="auto"/>
          <w:highlight w:val="none"/>
          <w:lang w:eastAsia="zh-CN"/>
        </w:rPr>
        <w:fldChar w:fldCharType="end"/>
      </w:r>
    </w:p>
    <w:p w14:paraId="48A901B5">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_Toc12690 </w:instrText>
      </w:r>
      <w:r>
        <w:rPr>
          <w:rFonts w:hint="default"/>
          <w:color w:val="auto"/>
          <w:highlight w:val="none"/>
          <w:lang w:eastAsia="zh-CN"/>
        </w:rPr>
        <w:fldChar w:fldCharType="separate"/>
      </w:r>
      <w:r>
        <w:rPr>
          <w:color w:val="auto"/>
          <w:highlight w:val="none"/>
        </w:rPr>
        <w:t>前  言</w:t>
      </w:r>
      <w:r>
        <w:rPr>
          <w:color w:val="auto"/>
          <w:highlight w:val="none"/>
        </w:rPr>
        <w:tab/>
      </w:r>
      <w:r>
        <w:rPr>
          <w:color w:val="auto"/>
          <w:highlight w:val="none"/>
        </w:rPr>
        <w:fldChar w:fldCharType="begin"/>
      </w:r>
      <w:r>
        <w:rPr>
          <w:color w:val="auto"/>
          <w:highlight w:val="none"/>
        </w:rPr>
        <w:instrText xml:space="preserve"> PAGEREF _Toc12690 \h </w:instrText>
      </w:r>
      <w:r>
        <w:rPr>
          <w:color w:val="auto"/>
          <w:highlight w:val="none"/>
        </w:rPr>
        <w:fldChar w:fldCharType="separate"/>
      </w:r>
      <w:r>
        <w:rPr>
          <w:color w:val="auto"/>
          <w:highlight w:val="none"/>
        </w:rPr>
        <w:t>II</w:t>
      </w:r>
      <w:r>
        <w:rPr>
          <w:color w:val="auto"/>
          <w:highlight w:val="none"/>
        </w:rPr>
        <w:fldChar w:fldCharType="end"/>
      </w:r>
      <w:r>
        <w:rPr>
          <w:rFonts w:hint="default"/>
          <w:color w:val="auto"/>
          <w:highlight w:val="none"/>
          <w:lang w:eastAsia="zh-CN"/>
        </w:rPr>
        <w:fldChar w:fldCharType="end"/>
      </w:r>
    </w:p>
    <w:p w14:paraId="1A487E2D">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_Toc32646 </w:instrText>
      </w:r>
      <w:r>
        <w:rPr>
          <w:rFonts w:hint="default"/>
          <w:color w:val="auto"/>
          <w:highlight w:val="none"/>
          <w:lang w:eastAsia="zh-CN"/>
        </w:rPr>
        <w:fldChar w:fldCharType="separate"/>
      </w:r>
      <w:r>
        <w:rPr>
          <w:rFonts w:hint="eastAsia"/>
          <w:color w:val="auto"/>
          <w:highlight w:val="none"/>
        </w:rPr>
        <w:t xml:space="preserve">1 </w:t>
      </w:r>
      <w:r>
        <w:rPr>
          <w:color w:val="auto"/>
          <w:highlight w:val="none"/>
        </w:rPr>
        <w:t>范围</w:t>
      </w:r>
      <w:r>
        <w:rPr>
          <w:color w:val="auto"/>
          <w:highlight w:val="none"/>
        </w:rPr>
        <w:tab/>
      </w:r>
      <w:r>
        <w:rPr>
          <w:color w:val="auto"/>
          <w:highlight w:val="none"/>
        </w:rPr>
        <w:fldChar w:fldCharType="begin"/>
      </w:r>
      <w:r>
        <w:rPr>
          <w:color w:val="auto"/>
          <w:highlight w:val="none"/>
        </w:rPr>
        <w:instrText xml:space="preserve"> PAGEREF _Toc32646 \h </w:instrText>
      </w:r>
      <w:r>
        <w:rPr>
          <w:color w:val="auto"/>
          <w:highlight w:val="none"/>
        </w:rPr>
        <w:fldChar w:fldCharType="separate"/>
      </w:r>
      <w:r>
        <w:rPr>
          <w:color w:val="auto"/>
          <w:highlight w:val="none"/>
        </w:rPr>
        <w:t>3</w:t>
      </w:r>
      <w:r>
        <w:rPr>
          <w:color w:val="auto"/>
          <w:highlight w:val="none"/>
        </w:rPr>
        <w:fldChar w:fldCharType="end"/>
      </w:r>
      <w:r>
        <w:rPr>
          <w:rFonts w:hint="default"/>
          <w:color w:val="auto"/>
          <w:highlight w:val="none"/>
          <w:lang w:eastAsia="zh-CN"/>
        </w:rPr>
        <w:fldChar w:fldCharType="end"/>
      </w:r>
    </w:p>
    <w:p w14:paraId="5346497A">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_Toc16672 </w:instrText>
      </w:r>
      <w:r>
        <w:rPr>
          <w:rFonts w:hint="default"/>
          <w:color w:val="auto"/>
          <w:highlight w:val="none"/>
          <w:lang w:eastAsia="zh-CN"/>
        </w:rPr>
        <w:fldChar w:fldCharType="separate"/>
      </w:r>
      <w:r>
        <w:rPr>
          <w:rFonts w:hint="eastAsia"/>
          <w:color w:val="auto"/>
          <w:highlight w:val="none"/>
        </w:rPr>
        <w:t xml:space="preserve">2 </w:t>
      </w:r>
      <w:r>
        <w:rPr>
          <w:color w:val="auto"/>
          <w:highlight w:val="none"/>
        </w:rPr>
        <w:t>规范性引用文件</w:t>
      </w:r>
      <w:r>
        <w:rPr>
          <w:color w:val="auto"/>
          <w:highlight w:val="none"/>
        </w:rPr>
        <w:tab/>
      </w:r>
      <w:r>
        <w:rPr>
          <w:color w:val="auto"/>
          <w:highlight w:val="none"/>
        </w:rPr>
        <w:fldChar w:fldCharType="begin"/>
      </w:r>
      <w:r>
        <w:rPr>
          <w:color w:val="auto"/>
          <w:highlight w:val="none"/>
        </w:rPr>
        <w:instrText xml:space="preserve"> PAGEREF _Toc16672 \h </w:instrText>
      </w:r>
      <w:r>
        <w:rPr>
          <w:color w:val="auto"/>
          <w:highlight w:val="none"/>
        </w:rPr>
        <w:fldChar w:fldCharType="separate"/>
      </w:r>
      <w:r>
        <w:rPr>
          <w:color w:val="auto"/>
          <w:highlight w:val="none"/>
        </w:rPr>
        <w:t>3</w:t>
      </w:r>
      <w:r>
        <w:rPr>
          <w:color w:val="auto"/>
          <w:highlight w:val="none"/>
        </w:rPr>
        <w:fldChar w:fldCharType="end"/>
      </w:r>
      <w:r>
        <w:rPr>
          <w:rFonts w:hint="default"/>
          <w:color w:val="auto"/>
          <w:highlight w:val="none"/>
          <w:lang w:eastAsia="zh-CN"/>
        </w:rPr>
        <w:fldChar w:fldCharType="end"/>
      </w:r>
    </w:p>
    <w:p w14:paraId="035F1C6E">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_Toc28321 </w:instrText>
      </w:r>
      <w:r>
        <w:rPr>
          <w:rFonts w:hint="default"/>
          <w:color w:val="auto"/>
          <w:highlight w:val="none"/>
          <w:lang w:eastAsia="zh-CN"/>
        </w:rPr>
        <w:fldChar w:fldCharType="separate"/>
      </w:r>
      <w:r>
        <w:rPr>
          <w:rFonts w:hint="eastAsia"/>
          <w:color w:val="auto"/>
          <w:highlight w:val="none"/>
        </w:rPr>
        <w:t>3 术语</w:t>
      </w:r>
      <w:r>
        <w:rPr>
          <w:color w:val="auto"/>
          <w:highlight w:val="none"/>
        </w:rPr>
        <w:t>和定义</w:t>
      </w:r>
      <w:r>
        <w:rPr>
          <w:color w:val="auto"/>
          <w:highlight w:val="none"/>
        </w:rPr>
        <w:tab/>
      </w:r>
      <w:r>
        <w:rPr>
          <w:color w:val="auto"/>
          <w:highlight w:val="none"/>
        </w:rPr>
        <w:fldChar w:fldCharType="begin"/>
      </w:r>
      <w:r>
        <w:rPr>
          <w:color w:val="auto"/>
          <w:highlight w:val="none"/>
        </w:rPr>
        <w:instrText xml:space="preserve"> PAGEREF _Toc28321 \h </w:instrText>
      </w:r>
      <w:r>
        <w:rPr>
          <w:color w:val="auto"/>
          <w:highlight w:val="none"/>
        </w:rPr>
        <w:fldChar w:fldCharType="separate"/>
      </w:r>
      <w:r>
        <w:rPr>
          <w:color w:val="auto"/>
          <w:highlight w:val="none"/>
        </w:rPr>
        <w:t>4</w:t>
      </w:r>
      <w:r>
        <w:rPr>
          <w:color w:val="auto"/>
          <w:highlight w:val="none"/>
        </w:rPr>
        <w:fldChar w:fldCharType="end"/>
      </w:r>
      <w:r>
        <w:rPr>
          <w:rFonts w:hint="default"/>
          <w:color w:val="auto"/>
          <w:highlight w:val="none"/>
          <w:lang w:eastAsia="zh-CN"/>
        </w:rPr>
        <w:fldChar w:fldCharType="end"/>
      </w:r>
    </w:p>
    <w:p w14:paraId="672387B1">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_Toc28960 </w:instrText>
      </w:r>
      <w:r>
        <w:rPr>
          <w:rFonts w:hint="default"/>
          <w:color w:val="auto"/>
          <w:highlight w:val="none"/>
          <w:lang w:eastAsia="zh-CN"/>
        </w:rPr>
        <w:fldChar w:fldCharType="separate"/>
      </w:r>
      <w:r>
        <w:rPr>
          <w:rFonts w:hint="eastAsia"/>
          <w:color w:val="auto"/>
          <w:highlight w:val="none"/>
        </w:rPr>
        <w:t>4 型号</w:t>
      </w:r>
      <w:r>
        <w:rPr>
          <w:color w:val="auto"/>
          <w:highlight w:val="none"/>
        </w:rPr>
        <w:tab/>
      </w:r>
      <w:r>
        <w:rPr>
          <w:color w:val="auto"/>
          <w:highlight w:val="none"/>
        </w:rPr>
        <w:fldChar w:fldCharType="begin"/>
      </w:r>
      <w:r>
        <w:rPr>
          <w:color w:val="auto"/>
          <w:highlight w:val="none"/>
        </w:rPr>
        <w:instrText xml:space="preserve"> PAGEREF _Toc28960 \h </w:instrText>
      </w:r>
      <w:r>
        <w:rPr>
          <w:color w:val="auto"/>
          <w:highlight w:val="none"/>
        </w:rPr>
        <w:fldChar w:fldCharType="separate"/>
      </w:r>
      <w:r>
        <w:rPr>
          <w:color w:val="auto"/>
          <w:highlight w:val="none"/>
        </w:rPr>
        <w:t>4</w:t>
      </w:r>
      <w:r>
        <w:rPr>
          <w:color w:val="auto"/>
          <w:highlight w:val="none"/>
        </w:rPr>
        <w:fldChar w:fldCharType="end"/>
      </w:r>
      <w:r>
        <w:rPr>
          <w:rFonts w:hint="default"/>
          <w:color w:val="auto"/>
          <w:highlight w:val="none"/>
          <w:lang w:eastAsia="zh-CN"/>
        </w:rPr>
        <w:fldChar w:fldCharType="end"/>
      </w:r>
    </w:p>
    <w:p w14:paraId="3FC659D5">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_Toc25295 </w:instrText>
      </w:r>
      <w:r>
        <w:rPr>
          <w:rFonts w:hint="default"/>
          <w:color w:val="auto"/>
          <w:highlight w:val="none"/>
          <w:lang w:eastAsia="zh-CN"/>
        </w:rPr>
        <w:fldChar w:fldCharType="separate"/>
      </w:r>
      <w:r>
        <w:rPr>
          <w:rFonts w:hint="eastAsia"/>
          <w:color w:val="auto"/>
          <w:highlight w:val="none"/>
        </w:rPr>
        <w:t>5 基本要求</w:t>
      </w:r>
      <w:r>
        <w:rPr>
          <w:color w:val="auto"/>
          <w:highlight w:val="none"/>
        </w:rPr>
        <w:tab/>
      </w:r>
      <w:r>
        <w:rPr>
          <w:color w:val="auto"/>
          <w:highlight w:val="none"/>
        </w:rPr>
        <w:fldChar w:fldCharType="begin"/>
      </w:r>
      <w:r>
        <w:rPr>
          <w:color w:val="auto"/>
          <w:highlight w:val="none"/>
        </w:rPr>
        <w:instrText xml:space="preserve"> PAGEREF _Toc25295 \h </w:instrText>
      </w:r>
      <w:r>
        <w:rPr>
          <w:color w:val="auto"/>
          <w:highlight w:val="none"/>
        </w:rPr>
        <w:fldChar w:fldCharType="separate"/>
      </w:r>
      <w:r>
        <w:rPr>
          <w:color w:val="auto"/>
          <w:highlight w:val="none"/>
        </w:rPr>
        <w:t>4</w:t>
      </w:r>
      <w:r>
        <w:rPr>
          <w:color w:val="auto"/>
          <w:highlight w:val="none"/>
        </w:rPr>
        <w:fldChar w:fldCharType="end"/>
      </w:r>
      <w:r>
        <w:rPr>
          <w:rFonts w:hint="default"/>
          <w:color w:val="auto"/>
          <w:highlight w:val="none"/>
          <w:lang w:eastAsia="zh-CN"/>
        </w:rPr>
        <w:fldChar w:fldCharType="end"/>
      </w:r>
    </w:p>
    <w:p w14:paraId="73C30434">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_Toc5035 </w:instrText>
      </w:r>
      <w:r>
        <w:rPr>
          <w:rFonts w:hint="default"/>
          <w:color w:val="auto"/>
          <w:highlight w:val="none"/>
          <w:lang w:eastAsia="zh-CN"/>
        </w:rPr>
        <w:fldChar w:fldCharType="separate"/>
      </w:r>
      <w:r>
        <w:rPr>
          <w:rFonts w:hint="eastAsia"/>
          <w:color w:val="auto"/>
          <w:highlight w:val="none"/>
        </w:rPr>
        <w:t>6 技术要求</w:t>
      </w:r>
      <w:r>
        <w:rPr>
          <w:color w:val="auto"/>
          <w:highlight w:val="none"/>
        </w:rPr>
        <w:tab/>
      </w:r>
      <w:r>
        <w:rPr>
          <w:color w:val="auto"/>
          <w:highlight w:val="none"/>
        </w:rPr>
        <w:fldChar w:fldCharType="begin"/>
      </w:r>
      <w:r>
        <w:rPr>
          <w:color w:val="auto"/>
          <w:highlight w:val="none"/>
        </w:rPr>
        <w:instrText xml:space="preserve"> PAGEREF _Toc5035 \h </w:instrText>
      </w:r>
      <w:r>
        <w:rPr>
          <w:color w:val="auto"/>
          <w:highlight w:val="none"/>
        </w:rPr>
        <w:fldChar w:fldCharType="separate"/>
      </w:r>
      <w:r>
        <w:rPr>
          <w:color w:val="auto"/>
          <w:highlight w:val="none"/>
        </w:rPr>
        <w:t>5</w:t>
      </w:r>
      <w:r>
        <w:rPr>
          <w:color w:val="auto"/>
          <w:highlight w:val="none"/>
        </w:rPr>
        <w:fldChar w:fldCharType="end"/>
      </w:r>
      <w:r>
        <w:rPr>
          <w:rFonts w:hint="default"/>
          <w:color w:val="auto"/>
          <w:highlight w:val="none"/>
          <w:lang w:eastAsia="zh-CN"/>
        </w:rPr>
        <w:fldChar w:fldCharType="end"/>
      </w:r>
    </w:p>
    <w:p w14:paraId="3003CE37">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_Toc23311 </w:instrText>
      </w:r>
      <w:r>
        <w:rPr>
          <w:rFonts w:hint="default"/>
          <w:color w:val="auto"/>
          <w:highlight w:val="none"/>
          <w:lang w:eastAsia="zh-CN"/>
        </w:rPr>
        <w:fldChar w:fldCharType="separate"/>
      </w:r>
      <w:r>
        <w:rPr>
          <w:rFonts w:hint="eastAsia"/>
          <w:color w:val="auto"/>
          <w:highlight w:val="none"/>
        </w:rPr>
        <w:t>7 试验方法</w:t>
      </w:r>
      <w:r>
        <w:rPr>
          <w:color w:val="auto"/>
          <w:highlight w:val="none"/>
        </w:rPr>
        <w:tab/>
      </w:r>
      <w:r>
        <w:rPr>
          <w:color w:val="auto"/>
          <w:highlight w:val="none"/>
        </w:rPr>
        <w:fldChar w:fldCharType="begin"/>
      </w:r>
      <w:r>
        <w:rPr>
          <w:color w:val="auto"/>
          <w:highlight w:val="none"/>
        </w:rPr>
        <w:instrText xml:space="preserve"> PAGEREF _Toc23311 \h </w:instrText>
      </w:r>
      <w:r>
        <w:rPr>
          <w:color w:val="auto"/>
          <w:highlight w:val="none"/>
        </w:rPr>
        <w:fldChar w:fldCharType="separate"/>
      </w:r>
      <w:r>
        <w:rPr>
          <w:color w:val="auto"/>
          <w:highlight w:val="none"/>
        </w:rPr>
        <w:t>9</w:t>
      </w:r>
      <w:r>
        <w:rPr>
          <w:color w:val="auto"/>
          <w:highlight w:val="none"/>
        </w:rPr>
        <w:fldChar w:fldCharType="end"/>
      </w:r>
      <w:r>
        <w:rPr>
          <w:rFonts w:hint="default"/>
          <w:color w:val="auto"/>
          <w:highlight w:val="none"/>
          <w:lang w:eastAsia="zh-CN"/>
        </w:rPr>
        <w:fldChar w:fldCharType="end"/>
      </w:r>
    </w:p>
    <w:p w14:paraId="5B61C19E">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_Toc29668 </w:instrText>
      </w:r>
      <w:r>
        <w:rPr>
          <w:rFonts w:hint="default"/>
          <w:color w:val="auto"/>
          <w:highlight w:val="none"/>
          <w:lang w:eastAsia="zh-CN"/>
        </w:rPr>
        <w:fldChar w:fldCharType="separate"/>
      </w:r>
      <w:r>
        <w:rPr>
          <w:rFonts w:hint="eastAsia"/>
          <w:color w:val="auto"/>
          <w:highlight w:val="none"/>
        </w:rPr>
        <w:t>8 检验规则</w:t>
      </w:r>
      <w:r>
        <w:rPr>
          <w:color w:val="auto"/>
          <w:highlight w:val="none"/>
        </w:rPr>
        <w:tab/>
      </w:r>
      <w:r>
        <w:rPr>
          <w:color w:val="auto"/>
          <w:highlight w:val="none"/>
        </w:rPr>
        <w:fldChar w:fldCharType="begin"/>
      </w:r>
      <w:r>
        <w:rPr>
          <w:color w:val="auto"/>
          <w:highlight w:val="none"/>
        </w:rPr>
        <w:instrText xml:space="preserve"> PAGEREF _Toc29668 \h </w:instrText>
      </w:r>
      <w:r>
        <w:rPr>
          <w:color w:val="auto"/>
          <w:highlight w:val="none"/>
        </w:rPr>
        <w:fldChar w:fldCharType="separate"/>
      </w:r>
      <w:r>
        <w:rPr>
          <w:color w:val="auto"/>
          <w:highlight w:val="none"/>
        </w:rPr>
        <w:t>11</w:t>
      </w:r>
      <w:r>
        <w:rPr>
          <w:color w:val="auto"/>
          <w:highlight w:val="none"/>
        </w:rPr>
        <w:fldChar w:fldCharType="end"/>
      </w:r>
      <w:r>
        <w:rPr>
          <w:rFonts w:hint="default"/>
          <w:color w:val="auto"/>
          <w:highlight w:val="none"/>
          <w:lang w:eastAsia="zh-CN"/>
        </w:rPr>
        <w:fldChar w:fldCharType="end"/>
      </w:r>
    </w:p>
    <w:p w14:paraId="030830F8">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_Toc9619 </w:instrText>
      </w:r>
      <w:r>
        <w:rPr>
          <w:rFonts w:hint="default"/>
          <w:color w:val="auto"/>
          <w:highlight w:val="none"/>
          <w:lang w:eastAsia="zh-CN"/>
        </w:rPr>
        <w:fldChar w:fldCharType="separate"/>
      </w:r>
      <w:r>
        <w:rPr>
          <w:rFonts w:hint="eastAsia"/>
          <w:color w:val="auto"/>
          <w:highlight w:val="none"/>
        </w:rPr>
        <w:t>9 标志、包装、运输、贮存</w:t>
      </w:r>
      <w:r>
        <w:rPr>
          <w:color w:val="auto"/>
          <w:highlight w:val="none"/>
        </w:rPr>
        <w:tab/>
      </w:r>
      <w:r>
        <w:rPr>
          <w:color w:val="auto"/>
          <w:highlight w:val="none"/>
        </w:rPr>
        <w:fldChar w:fldCharType="begin"/>
      </w:r>
      <w:r>
        <w:rPr>
          <w:color w:val="auto"/>
          <w:highlight w:val="none"/>
        </w:rPr>
        <w:instrText xml:space="preserve"> PAGEREF _Toc9619 \h </w:instrText>
      </w:r>
      <w:r>
        <w:rPr>
          <w:color w:val="auto"/>
          <w:highlight w:val="none"/>
        </w:rPr>
        <w:fldChar w:fldCharType="separate"/>
      </w:r>
      <w:r>
        <w:rPr>
          <w:color w:val="auto"/>
          <w:highlight w:val="none"/>
        </w:rPr>
        <w:t>13</w:t>
      </w:r>
      <w:r>
        <w:rPr>
          <w:color w:val="auto"/>
          <w:highlight w:val="none"/>
        </w:rPr>
        <w:fldChar w:fldCharType="end"/>
      </w:r>
      <w:r>
        <w:rPr>
          <w:rFonts w:hint="default"/>
          <w:color w:val="auto"/>
          <w:highlight w:val="none"/>
          <w:lang w:eastAsia="zh-CN"/>
        </w:rPr>
        <w:fldChar w:fldCharType="end"/>
      </w:r>
    </w:p>
    <w:p w14:paraId="15362F91">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_Toc107 </w:instrText>
      </w:r>
      <w:r>
        <w:rPr>
          <w:rFonts w:hint="default"/>
          <w:color w:val="auto"/>
          <w:highlight w:val="none"/>
          <w:lang w:eastAsia="zh-CN"/>
        </w:rPr>
        <w:fldChar w:fldCharType="separate"/>
      </w:r>
      <w:r>
        <w:rPr>
          <w:rFonts w:hint="eastAsia"/>
          <w:color w:val="auto"/>
          <w:highlight w:val="none"/>
        </w:rPr>
        <w:t xml:space="preserve">10 </w:t>
      </w:r>
      <w:r>
        <w:rPr>
          <w:rFonts w:hint="eastAsia"/>
          <w:color w:val="auto"/>
          <w:highlight w:val="none"/>
          <w:lang w:val="en-US" w:eastAsia="zh-CN"/>
        </w:rPr>
        <w:t>全生命周期管理</w:t>
      </w:r>
      <w:r>
        <w:rPr>
          <w:color w:val="auto"/>
          <w:highlight w:val="none"/>
        </w:rPr>
        <w:tab/>
      </w:r>
      <w:r>
        <w:rPr>
          <w:color w:val="auto"/>
          <w:highlight w:val="none"/>
        </w:rPr>
        <w:fldChar w:fldCharType="begin"/>
      </w:r>
      <w:r>
        <w:rPr>
          <w:color w:val="auto"/>
          <w:highlight w:val="none"/>
        </w:rPr>
        <w:instrText xml:space="preserve"> PAGEREF _Toc107 \h </w:instrText>
      </w:r>
      <w:r>
        <w:rPr>
          <w:color w:val="auto"/>
          <w:highlight w:val="none"/>
        </w:rPr>
        <w:fldChar w:fldCharType="separate"/>
      </w:r>
      <w:r>
        <w:rPr>
          <w:color w:val="auto"/>
          <w:highlight w:val="none"/>
        </w:rPr>
        <w:t>14</w:t>
      </w:r>
      <w:r>
        <w:rPr>
          <w:color w:val="auto"/>
          <w:highlight w:val="none"/>
        </w:rPr>
        <w:fldChar w:fldCharType="end"/>
      </w:r>
      <w:r>
        <w:rPr>
          <w:rFonts w:hint="default"/>
          <w:color w:val="auto"/>
          <w:highlight w:val="none"/>
          <w:lang w:eastAsia="zh-CN"/>
        </w:rPr>
        <w:fldChar w:fldCharType="end"/>
      </w:r>
    </w:p>
    <w:p w14:paraId="256B66BA">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_Toc13029 </w:instrText>
      </w:r>
      <w:r>
        <w:rPr>
          <w:rFonts w:hint="default"/>
          <w:color w:val="auto"/>
          <w:highlight w:val="none"/>
          <w:lang w:eastAsia="zh-CN"/>
        </w:rPr>
        <w:fldChar w:fldCharType="separate"/>
      </w:r>
      <w:r>
        <w:rPr>
          <w:rFonts w:hint="eastAsia"/>
          <w:color w:val="auto"/>
          <w:highlight w:val="none"/>
        </w:rPr>
        <w:t>11 质量承诺</w:t>
      </w:r>
      <w:r>
        <w:rPr>
          <w:color w:val="auto"/>
          <w:highlight w:val="none"/>
        </w:rPr>
        <w:tab/>
      </w:r>
      <w:r>
        <w:rPr>
          <w:color w:val="auto"/>
          <w:highlight w:val="none"/>
        </w:rPr>
        <w:fldChar w:fldCharType="begin"/>
      </w:r>
      <w:r>
        <w:rPr>
          <w:color w:val="auto"/>
          <w:highlight w:val="none"/>
        </w:rPr>
        <w:instrText xml:space="preserve"> PAGEREF _Toc13029 \h </w:instrText>
      </w:r>
      <w:r>
        <w:rPr>
          <w:color w:val="auto"/>
          <w:highlight w:val="none"/>
        </w:rPr>
        <w:fldChar w:fldCharType="separate"/>
      </w:r>
      <w:r>
        <w:rPr>
          <w:color w:val="auto"/>
          <w:highlight w:val="none"/>
        </w:rPr>
        <w:t>14</w:t>
      </w:r>
      <w:r>
        <w:rPr>
          <w:color w:val="auto"/>
          <w:highlight w:val="none"/>
        </w:rPr>
        <w:fldChar w:fldCharType="end"/>
      </w:r>
      <w:r>
        <w:rPr>
          <w:rFonts w:hint="default"/>
          <w:color w:val="auto"/>
          <w:highlight w:val="none"/>
          <w:lang w:eastAsia="zh-CN"/>
        </w:rPr>
        <w:fldChar w:fldCharType="end"/>
      </w:r>
    </w:p>
    <w:p w14:paraId="5B6ECB7E">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_Toc23141 </w:instrText>
      </w:r>
      <w:r>
        <w:rPr>
          <w:rFonts w:hint="default"/>
          <w:color w:val="auto"/>
          <w:highlight w:val="none"/>
          <w:lang w:eastAsia="zh-CN"/>
        </w:rPr>
        <w:fldChar w:fldCharType="separate"/>
      </w:r>
      <w:r>
        <w:rPr>
          <w:rFonts w:hint="eastAsia"/>
          <w:color w:val="auto"/>
          <w:highlight w:val="none"/>
          <w:lang w:val="en-US" w:eastAsia="zh-CN"/>
        </w:rPr>
        <w:t>附录A</w:t>
      </w:r>
      <w:r>
        <w:rPr>
          <w:rFonts w:hint="eastAsia"/>
          <w:color w:val="auto"/>
          <w:highlight w:val="none"/>
        </w:rPr>
        <w:t xml:space="preserve"> </w:t>
      </w:r>
      <w:r>
        <w:rPr>
          <w:rFonts w:hint="eastAsia"/>
          <w:color w:val="auto"/>
          <w:highlight w:val="none"/>
          <w:lang w:eastAsia="zh-CN"/>
        </w:rPr>
        <w:t>（规范性） 紧急断电装置试验方法</w:t>
      </w:r>
      <w:r>
        <w:rPr>
          <w:color w:val="auto"/>
          <w:highlight w:val="none"/>
        </w:rPr>
        <w:tab/>
      </w:r>
      <w:r>
        <w:rPr>
          <w:color w:val="auto"/>
          <w:highlight w:val="none"/>
        </w:rPr>
        <w:fldChar w:fldCharType="begin"/>
      </w:r>
      <w:r>
        <w:rPr>
          <w:color w:val="auto"/>
          <w:highlight w:val="none"/>
        </w:rPr>
        <w:instrText xml:space="preserve"> PAGEREF _Toc23141 \h </w:instrText>
      </w:r>
      <w:r>
        <w:rPr>
          <w:color w:val="auto"/>
          <w:highlight w:val="none"/>
        </w:rPr>
        <w:fldChar w:fldCharType="separate"/>
      </w:r>
      <w:r>
        <w:rPr>
          <w:color w:val="auto"/>
          <w:highlight w:val="none"/>
        </w:rPr>
        <w:t>15</w:t>
      </w:r>
      <w:r>
        <w:rPr>
          <w:color w:val="auto"/>
          <w:highlight w:val="none"/>
        </w:rPr>
        <w:fldChar w:fldCharType="end"/>
      </w:r>
      <w:r>
        <w:rPr>
          <w:rFonts w:hint="default"/>
          <w:color w:val="auto"/>
          <w:highlight w:val="none"/>
          <w:lang w:eastAsia="zh-CN"/>
        </w:rPr>
        <w:fldChar w:fldCharType="end"/>
      </w:r>
    </w:p>
    <w:p w14:paraId="17B1D4ED">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_Toc20303 </w:instrText>
      </w:r>
      <w:r>
        <w:rPr>
          <w:rFonts w:hint="default"/>
          <w:color w:val="auto"/>
          <w:highlight w:val="none"/>
          <w:lang w:eastAsia="zh-CN"/>
        </w:rPr>
        <w:fldChar w:fldCharType="separate"/>
      </w:r>
      <w:r>
        <w:rPr>
          <w:rFonts w:hint="eastAsia"/>
          <w:color w:val="auto"/>
          <w:highlight w:val="none"/>
          <w:lang w:val="en-US" w:eastAsia="zh-CN"/>
        </w:rPr>
        <w:t>附录B</w:t>
      </w:r>
      <w:r>
        <w:rPr>
          <w:rFonts w:hint="eastAsia"/>
          <w:color w:val="auto"/>
          <w:highlight w:val="none"/>
        </w:rPr>
        <w:t xml:space="preserve"> </w:t>
      </w:r>
      <w:r>
        <w:rPr>
          <w:rFonts w:hint="eastAsia"/>
          <w:color w:val="auto"/>
          <w:highlight w:val="none"/>
          <w:lang w:eastAsia="zh-CN"/>
        </w:rPr>
        <w:t>（规范性） 快换电池耗时试验方法</w:t>
      </w:r>
      <w:r>
        <w:rPr>
          <w:color w:val="auto"/>
          <w:highlight w:val="none"/>
        </w:rPr>
        <w:tab/>
      </w:r>
      <w:r>
        <w:rPr>
          <w:color w:val="auto"/>
          <w:highlight w:val="none"/>
        </w:rPr>
        <w:fldChar w:fldCharType="begin"/>
      </w:r>
      <w:r>
        <w:rPr>
          <w:color w:val="auto"/>
          <w:highlight w:val="none"/>
        </w:rPr>
        <w:instrText xml:space="preserve"> PAGEREF _Toc20303 \h </w:instrText>
      </w:r>
      <w:r>
        <w:rPr>
          <w:color w:val="auto"/>
          <w:highlight w:val="none"/>
        </w:rPr>
        <w:fldChar w:fldCharType="separate"/>
      </w:r>
      <w:r>
        <w:rPr>
          <w:color w:val="auto"/>
          <w:highlight w:val="none"/>
        </w:rPr>
        <w:t>18</w:t>
      </w:r>
      <w:r>
        <w:rPr>
          <w:color w:val="auto"/>
          <w:highlight w:val="none"/>
        </w:rPr>
        <w:fldChar w:fldCharType="end"/>
      </w:r>
      <w:r>
        <w:rPr>
          <w:rFonts w:hint="default"/>
          <w:color w:val="auto"/>
          <w:highlight w:val="none"/>
          <w:lang w:eastAsia="zh-CN"/>
        </w:rPr>
        <w:fldChar w:fldCharType="end"/>
      </w:r>
    </w:p>
    <w:p w14:paraId="3B3480AF">
      <w:pPr>
        <w:pStyle w:val="23"/>
        <w:tabs>
          <w:tab w:val="right" w:leader="dot" w:pos="9355"/>
          <w:tab w:val="clear" w:pos="9242"/>
        </w:tabs>
        <w:spacing w:before="78" w:after="78"/>
        <w:rPr>
          <w:color w:val="auto"/>
          <w:highlight w:val="none"/>
        </w:rPr>
      </w:pPr>
      <w:r>
        <w:rPr>
          <w:rFonts w:hint="default"/>
          <w:color w:val="auto"/>
          <w:highlight w:val="none"/>
          <w:lang w:eastAsia="zh-CN"/>
        </w:rPr>
        <w:fldChar w:fldCharType="begin"/>
      </w:r>
      <w:r>
        <w:rPr>
          <w:rFonts w:hint="default"/>
          <w:color w:val="auto"/>
          <w:highlight w:val="none"/>
          <w:lang w:eastAsia="zh-CN"/>
        </w:rPr>
        <w:instrText xml:space="preserve"> HYPERLINK \l _Toc30143 </w:instrText>
      </w:r>
      <w:r>
        <w:rPr>
          <w:rFonts w:hint="default"/>
          <w:color w:val="auto"/>
          <w:highlight w:val="none"/>
          <w:lang w:eastAsia="zh-CN"/>
        </w:rPr>
        <w:fldChar w:fldCharType="separate"/>
      </w:r>
      <w:r>
        <w:rPr>
          <w:rFonts w:hint="eastAsia"/>
          <w:color w:val="auto"/>
          <w:highlight w:val="none"/>
          <w:lang w:val="en-US" w:eastAsia="zh-CN"/>
        </w:rPr>
        <w:t>附录C</w:t>
      </w:r>
      <w:r>
        <w:rPr>
          <w:rFonts w:hint="eastAsia"/>
          <w:color w:val="auto"/>
          <w:highlight w:val="none"/>
        </w:rPr>
        <w:t xml:space="preserve"> </w:t>
      </w:r>
      <w:r>
        <w:rPr>
          <w:rFonts w:hint="eastAsia"/>
          <w:color w:val="auto"/>
          <w:highlight w:val="none"/>
          <w:lang w:eastAsia="zh-CN"/>
        </w:rPr>
        <w:t>（规范性） 悬架有效行程测定方法</w:t>
      </w:r>
      <w:r>
        <w:rPr>
          <w:color w:val="auto"/>
          <w:highlight w:val="none"/>
        </w:rPr>
        <w:tab/>
      </w:r>
      <w:r>
        <w:rPr>
          <w:color w:val="auto"/>
          <w:highlight w:val="none"/>
        </w:rPr>
        <w:fldChar w:fldCharType="begin"/>
      </w:r>
      <w:r>
        <w:rPr>
          <w:color w:val="auto"/>
          <w:highlight w:val="none"/>
        </w:rPr>
        <w:instrText xml:space="preserve"> PAGEREF _Toc30143 \h </w:instrText>
      </w:r>
      <w:r>
        <w:rPr>
          <w:color w:val="auto"/>
          <w:highlight w:val="none"/>
        </w:rPr>
        <w:fldChar w:fldCharType="separate"/>
      </w:r>
      <w:r>
        <w:rPr>
          <w:color w:val="auto"/>
          <w:highlight w:val="none"/>
        </w:rPr>
        <w:t>20</w:t>
      </w:r>
      <w:r>
        <w:rPr>
          <w:color w:val="auto"/>
          <w:highlight w:val="none"/>
        </w:rPr>
        <w:fldChar w:fldCharType="end"/>
      </w:r>
      <w:r>
        <w:rPr>
          <w:rFonts w:hint="default"/>
          <w:color w:val="auto"/>
          <w:highlight w:val="none"/>
          <w:lang w:eastAsia="zh-CN"/>
        </w:rPr>
        <w:fldChar w:fldCharType="end"/>
      </w:r>
    </w:p>
    <w:p w14:paraId="3B4A8D65">
      <w:pPr>
        <w:pStyle w:val="23"/>
        <w:tabs>
          <w:tab w:val="right" w:leader="dot" w:pos="9355"/>
          <w:tab w:val="clear" w:pos="9242"/>
        </w:tabs>
        <w:spacing w:before="78" w:after="78"/>
        <w:rPr>
          <w:rFonts w:hint="eastAsia" w:hAnsi="宋体" w:cs="宋体"/>
          <w:color w:val="auto"/>
          <w:highlight w:val="none"/>
          <w:lang w:eastAsia="zh-CN"/>
        </w:rPr>
        <w:sectPr>
          <w:headerReference r:id="rId5" w:type="default"/>
          <w:footerReference r:id="rId7" w:type="default"/>
          <w:headerReference r:id="rId6" w:type="even"/>
          <w:footerReference r:id="rId8" w:type="even"/>
          <w:pgSz w:w="11906" w:h="16838"/>
          <w:pgMar w:top="1418" w:right="1134" w:bottom="1134" w:left="1417" w:header="1418" w:footer="1134" w:gutter="0"/>
          <w:pgNumType w:fmt="upperRoman" w:start="1"/>
          <w:cols w:space="720" w:num="1"/>
          <w:formProt w:val="0"/>
          <w:docGrid w:type="lines" w:linePitch="312" w:charSpace="0"/>
        </w:sectPr>
      </w:pPr>
      <w:r>
        <w:rPr>
          <w:rFonts w:hint="default"/>
          <w:color w:val="auto"/>
          <w:highlight w:val="none"/>
          <w:lang w:eastAsia="zh-CN"/>
        </w:rPr>
        <w:fldChar w:fldCharType="end"/>
      </w:r>
    </w:p>
    <w:bookmarkEnd w:id="3"/>
    <w:p w14:paraId="44F8B193">
      <w:pPr>
        <w:pStyle w:val="143"/>
        <w:rPr>
          <w:rFonts w:ascii="Times New Roman"/>
          <w:color w:val="auto"/>
          <w:highlight w:val="none"/>
        </w:rPr>
      </w:pPr>
      <w:bookmarkStart w:id="13" w:name="_Toc29766"/>
      <w:bookmarkStart w:id="14" w:name="_Toc22758"/>
      <w:bookmarkStart w:id="15" w:name="_Toc32018"/>
      <w:bookmarkStart w:id="16" w:name="_Toc19761"/>
      <w:bookmarkStart w:id="17" w:name="_Toc30150"/>
      <w:bookmarkStart w:id="18" w:name="_Toc12690"/>
      <w:bookmarkStart w:id="19" w:name="_Toc2879"/>
      <w:bookmarkStart w:id="20" w:name="_Toc31848"/>
      <w:bookmarkStart w:id="21" w:name="_Toc23481"/>
      <w:r>
        <w:rPr>
          <w:rFonts w:ascii="Times New Roman"/>
          <w:color w:val="auto"/>
          <w:highlight w:val="none"/>
        </w:rPr>
        <w:t>前</w:t>
      </w:r>
      <w:bookmarkStart w:id="22" w:name="BKQY"/>
      <w:r>
        <w:rPr>
          <w:rFonts w:ascii="Times New Roman" w:hAnsi="Cambria Math"/>
          <w:color w:val="auto"/>
          <w:highlight w:val="none"/>
        </w:rPr>
        <w:t>  </w:t>
      </w:r>
      <w:r>
        <w:rPr>
          <w:rFonts w:ascii="Times New Roman"/>
          <w:color w:val="auto"/>
          <w:highlight w:val="none"/>
        </w:rPr>
        <w:t>言</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3C13D01">
      <w:pPr>
        <w:pStyle w:val="27"/>
        <w:rPr>
          <w:color w:val="auto"/>
          <w:highlight w:val="none"/>
        </w:rPr>
      </w:pPr>
      <w:r>
        <w:rPr>
          <w:rFonts w:hint="eastAsia"/>
          <w:color w:val="auto"/>
          <w:highlight w:val="none"/>
        </w:rPr>
        <w:t>本文件按照</w:t>
      </w:r>
      <w:r>
        <w:rPr>
          <w:color w:val="auto"/>
          <w:highlight w:val="none"/>
        </w:rPr>
        <w:t>GB/T 1.1</w:t>
      </w:r>
      <w:r>
        <w:rPr>
          <w:rFonts w:hint="eastAsia"/>
          <w:color w:val="auto"/>
          <w:highlight w:val="none"/>
        </w:rPr>
        <w:t>—</w:t>
      </w:r>
      <w:r>
        <w:rPr>
          <w:color w:val="auto"/>
          <w:highlight w:val="none"/>
        </w:rPr>
        <w:t>20</w:t>
      </w:r>
      <w:r>
        <w:rPr>
          <w:rFonts w:hint="eastAsia"/>
          <w:color w:val="auto"/>
          <w:highlight w:val="none"/>
        </w:rPr>
        <w:t>20《标准化工作导则</w:t>
      </w:r>
      <w:r>
        <w:rPr>
          <w:color w:val="auto"/>
          <w:highlight w:val="none"/>
        </w:rPr>
        <w:t xml:space="preserve"> </w:t>
      </w:r>
      <w:r>
        <w:rPr>
          <w:rFonts w:hint="eastAsia"/>
          <w:color w:val="auto"/>
          <w:highlight w:val="none"/>
        </w:rPr>
        <w:t>第</w:t>
      </w:r>
      <w:r>
        <w:rPr>
          <w:color w:val="auto"/>
          <w:highlight w:val="none"/>
        </w:rPr>
        <w:t>1</w:t>
      </w:r>
      <w:r>
        <w:rPr>
          <w:rFonts w:hint="eastAsia"/>
          <w:color w:val="auto"/>
          <w:highlight w:val="none"/>
        </w:rPr>
        <w:t>部分：标准化文件的结构和起草规则》的规定起草。</w:t>
      </w:r>
    </w:p>
    <w:p w14:paraId="774E18B7">
      <w:pPr>
        <w:pStyle w:val="27"/>
        <w:rPr>
          <w:color w:val="auto"/>
          <w:highlight w:val="none"/>
        </w:rPr>
      </w:pPr>
      <w:r>
        <w:rPr>
          <w:rFonts w:hint="eastAsia"/>
          <w:color w:val="auto"/>
          <w:highlight w:val="none"/>
        </w:rPr>
        <w:t>请注意本文件的某些内容可能涉及专利。本文件的发布机构不承担识别专利的责任。</w:t>
      </w:r>
    </w:p>
    <w:p w14:paraId="0A171E05">
      <w:pPr>
        <w:pStyle w:val="27"/>
        <w:rPr>
          <w:color w:val="auto"/>
          <w:highlight w:val="none"/>
        </w:rPr>
      </w:pPr>
      <w:r>
        <w:rPr>
          <w:rFonts w:hint="eastAsia"/>
          <w:color w:val="auto"/>
          <w:highlight w:val="none"/>
        </w:rPr>
        <w:t>本文件由浙江省质量协会提出并归口。</w:t>
      </w:r>
    </w:p>
    <w:p w14:paraId="33E74AE8">
      <w:pPr>
        <w:pStyle w:val="27"/>
        <w:rPr>
          <w:color w:val="auto"/>
          <w:highlight w:val="none"/>
        </w:rPr>
      </w:pPr>
      <w:r>
        <w:rPr>
          <w:rFonts w:hint="eastAsia"/>
          <w:color w:val="auto"/>
          <w:highlight w:val="none"/>
        </w:rPr>
        <w:t>本文件主要起草单位：浙江阿波罗运动科技股份有限公司。</w:t>
      </w:r>
    </w:p>
    <w:p w14:paraId="4B317CC0">
      <w:pPr>
        <w:pStyle w:val="27"/>
        <w:rPr>
          <w:color w:val="auto"/>
          <w:highlight w:val="none"/>
        </w:rPr>
      </w:pPr>
      <w:r>
        <w:rPr>
          <w:rFonts w:hint="eastAsia"/>
          <w:color w:val="auto"/>
          <w:highlight w:val="none"/>
        </w:rPr>
        <w:t>本文件参与起草单位：XXXXXXXX。</w:t>
      </w:r>
    </w:p>
    <w:p w14:paraId="448B9CC1">
      <w:pPr>
        <w:pStyle w:val="27"/>
        <w:rPr>
          <w:color w:val="auto"/>
          <w:highlight w:val="none"/>
        </w:rPr>
      </w:pPr>
      <w:r>
        <w:rPr>
          <w:rFonts w:hint="eastAsia"/>
          <w:color w:val="auto"/>
          <w:highlight w:val="none"/>
        </w:rPr>
        <w:t>本文件主要起草人：XXXXXXXX。</w:t>
      </w:r>
    </w:p>
    <w:p w14:paraId="3B096B22">
      <w:pPr>
        <w:pStyle w:val="27"/>
        <w:rPr>
          <w:color w:val="auto"/>
          <w:highlight w:val="none"/>
        </w:rPr>
      </w:pPr>
      <w:r>
        <w:rPr>
          <w:rFonts w:hint="eastAsia"/>
          <w:color w:val="auto"/>
          <w:highlight w:val="none"/>
        </w:rPr>
        <w:t>本文件评审专家组长：XXX。</w:t>
      </w:r>
    </w:p>
    <w:p w14:paraId="08900929">
      <w:pPr>
        <w:pStyle w:val="27"/>
        <w:rPr>
          <w:color w:val="auto"/>
          <w:highlight w:val="none"/>
        </w:rPr>
        <w:sectPr>
          <w:headerReference r:id="rId9" w:type="default"/>
          <w:footerReference r:id="rId11" w:type="default"/>
          <w:headerReference r:id="rId10" w:type="even"/>
          <w:footerReference r:id="rId12" w:type="even"/>
          <w:pgSz w:w="11906" w:h="16838"/>
          <w:pgMar w:top="1418" w:right="1134" w:bottom="1134" w:left="1417" w:header="1418" w:footer="1134" w:gutter="0"/>
          <w:pgNumType w:fmt="upperRoman"/>
          <w:cols w:space="720" w:num="1"/>
          <w:formProt w:val="0"/>
          <w:docGrid w:type="lines" w:linePitch="312" w:charSpace="0"/>
        </w:sectPr>
      </w:pPr>
    </w:p>
    <w:p w14:paraId="18BC2517">
      <w:pPr>
        <w:jc w:val="center"/>
        <w:rPr>
          <w:rFonts w:hint="eastAsia" w:ascii="黑体" w:hAnsi="黑体" w:eastAsia="黑体"/>
          <w:color w:val="auto"/>
          <w:sz w:val="32"/>
          <w:szCs w:val="32"/>
          <w:highlight w:val="none"/>
          <w:lang w:eastAsia="zh-CN"/>
        </w:rPr>
      </w:pPr>
      <w:bookmarkStart w:id="23" w:name="_Toc489260165"/>
      <w:bookmarkStart w:id="24" w:name="_Toc489260115"/>
      <w:r>
        <w:rPr>
          <w:rFonts w:hint="eastAsia" w:ascii="黑体" w:hAnsi="黑体" w:eastAsia="黑体"/>
          <w:color w:val="auto"/>
          <w:sz w:val="32"/>
          <w:szCs w:val="32"/>
          <w:highlight w:val="none"/>
        </w:rPr>
        <w:t>电动两轮</w:t>
      </w:r>
      <w:r>
        <w:rPr>
          <w:rFonts w:hint="eastAsia" w:ascii="黑体" w:hAnsi="黑体" w:eastAsia="黑体"/>
          <w:color w:val="auto"/>
          <w:sz w:val="32"/>
          <w:szCs w:val="32"/>
          <w:highlight w:val="none"/>
          <w:lang w:val="en-US" w:eastAsia="zh-CN"/>
        </w:rPr>
        <w:t>越野摩托车</w:t>
      </w:r>
    </w:p>
    <w:p w14:paraId="04E7A9DE">
      <w:pPr>
        <w:pStyle w:val="56"/>
        <w:rPr>
          <w:color w:val="auto"/>
          <w:highlight w:val="none"/>
        </w:rPr>
      </w:pPr>
      <w:bookmarkStart w:id="25" w:name="_Toc21516967"/>
      <w:bookmarkStart w:id="26" w:name="_Toc11282"/>
      <w:bookmarkStart w:id="27" w:name="_Toc32490"/>
      <w:bookmarkStart w:id="28" w:name="_Toc6494"/>
      <w:bookmarkStart w:id="29" w:name="_Toc19828131"/>
      <w:bookmarkStart w:id="30" w:name="_Toc19875975"/>
      <w:bookmarkStart w:id="31" w:name="_Toc4071"/>
      <w:bookmarkStart w:id="32" w:name="_Toc6381"/>
      <w:bookmarkStart w:id="33" w:name="_Toc28749"/>
      <w:bookmarkStart w:id="34" w:name="_Toc11232"/>
      <w:bookmarkStart w:id="35" w:name="_Toc19826643"/>
      <w:bookmarkStart w:id="36" w:name="_Toc32646"/>
      <w:bookmarkStart w:id="37" w:name="_Toc19828165"/>
      <w:bookmarkStart w:id="38" w:name="_Toc19828080"/>
      <w:r>
        <w:rPr>
          <w:color w:val="auto"/>
          <w:highlight w:val="none"/>
        </w:rPr>
        <w:t>范围</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59A1078">
      <w:pPr>
        <w:ind w:firstLine="420" w:firstLineChars="200"/>
        <w:rPr>
          <w:rFonts w:hint="eastAsia" w:ascii="宋体" w:hAnsi="宋体"/>
          <w:color w:val="auto"/>
          <w:szCs w:val="21"/>
          <w:highlight w:val="none"/>
        </w:rPr>
      </w:pPr>
      <w:bookmarkStart w:id="39" w:name="_Toc19828133"/>
      <w:bookmarkStart w:id="40" w:name="_Toc489260167"/>
      <w:bookmarkStart w:id="41" w:name="_Toc489260117"/>
      <w:bookmarkStart w:id="42" w:name="_Toc19826645"/>
      <w:bookmarkStart w:id="43" w:name="_Toc19828082"/>
      <w:r>
        <w:rPr>
          <w:rFonts w:hint="eastAsia" w:ascii="宋体" w:hAnsi="宋体"/>
          <w:color w:val="auto"/>
          <w:szCs w:val="21"/>
          <w:highlight w:val="none"/>
        </w:rPr>
        <w:t>本</w:t>
      </w:r>
      <w:r>
        <w:rPr>
          <w:rFonts w:hint="eastAsia" w:ascii="宋体" w:hAnsi="宋体"/>
          <w:color w:val="auto"/>
          <w:szCs w:val="21"/>
          <w:highlight w:val="none"/>
          <w:lang w:val="en-US" w:eastAsia="zh-CN"/>
        </w:rPr>
        <w:t>文件</w:t>
      </w:r>
      <w:r>
        <w:rPr>
          <w:rFonts w:hint="eastAsia" w:ascii="宋体" w:hAnsi="宋体"/>
          <w:color w:val="auto"/>
          <w:szCs w:val="21"/>
          <w:highlight w:val="none"/>
        </w:rPr>
        <w:t>规定了电动两轮</w:t>
      </w:r>
      <w:r>
        <w:rPr>
          <w:rFonts w:hint="eastAsia" w:ascii="宋体" w:hAnsi="宋体"/>
          <w:color w:val="auto"/>
          <w:szCs w:val="21"/>
          <w:highlight w:val="none"/>
          <w:lang w:val="en-US" w:eastAsia="zh-CN"/>
        </w:rPr>
        <w:t>越野摩托车</w:t>
      </w:r>
      <w:r>
        <w:rPr>
          <w:rFonts w:hint="eastAsia" w:ascii="宋体" w:hAnsi="宋体"/>
          <w:color w:val="auto"/>
          <w:szCs w:val="21"/>
          <w:highlight w:val="none"/>
        </w:rPr>
        <w:t>（以下简称“</w:t>
      </w:r>
      <w:r>
        <w:rPr>
          <w:rFonts w:hint="eastAsia" w:ascii="宋体" w:hAnsi="宋体"/>
          <w:color w:val="auto"/>
          <w:szCs w:val="21"/>
          <w:highlight w:val="none"/>
          <w:lang w:val="en-US" w:eastAsia="zh-CN"/>
        </w:rPr>
        <w:t>越野摩托车</w:t>
      </w:r>
      <w:r>
        <w:rPr>
          <w:rFonts w:hint="eastAsia" w:ascii="宋体" w:hAnsi="宋体"/>
          <w:color w:val="auto"/>
          <w:szCs w:val="21"/>
          <w:highlight w:val="none"/>
        </w:rPr>
        <w:t>”）的术语和定义、型号、要求、试验方法、检验规则以及标志、包装、运输、贮存和质量承诺。</w:t>
      </w:r>
    </w:p>
    <w:p w14:paraId="45CD4B57">
      <w:pPr>
        <w:ind w:firstLine="420" w:firstLineChars="200"/>
        <w:rPr>
          <w:rFonts w:ascii="宋体" w:hAnsi="宋体"/>
          <w:color w:val="auto"/>
          <w:szCs w:val="21"/>
          <w:highlight w:val="none"/>
        </w:rPr>
      </w:pPr>
      <w:r>
        <w:rPr>
          <w:rFonts w:hint="eastAsia" w:ascii="宋体" w:hAnsi="宋体"/>
          <w:color w:val="auto"/>
          <w:szCs w:val="21"/>
          <w:highlight w:val="none"/>
        </w:rPr>
        <w:t>本文件</w:t>
      </w:r>
      <w:r>
        <w:rPr>
          <w:rFonts w:hint="eastAsia" w:ascii="宋体" w:hAnsi="宋体"/>
          <w:color w:val="auto"/>
          <w:szCs w:val="21"/>
          <w:highlight w:val="none"/>
          <w:lang w:val="en-US" w:eastAsia="zh-CN"/>
        </w:rPr>
        <w:t>主要</w:t>
      </w:r>
      <w:r>
        <w:rPr>
          <w:rFonts w:hint="eastAsia" w:ascii="宋体" w:hAnsi="宋体"/>
          <w:color w:val="auto"/>
          <w:szCs w:val="21"/>
          <w:highlight w:val="none"/>
        </w:rPr>
        <w:t>适用于不以在公路及城市道路上行驶为目的</w:t>
      </w:r>
      <w:r>
        <w:rPr>
          <w:rFonts w:hint="eastAsia" w:ascii="宋体" w:hAnsi="宋体"/>
          <w:color w:val="auto"/>
          <w:szCs w:val="21"/>
          <w:highlight w:val="none"/>
          <w:lang w:eastAsia="zh-CN"/>
        </w:rPr>
        <w:t>，</w:t>
      </w:r>
      <w:r>
        <w:rPr>
          <w:rFonts w:hint="eastAsia" w:ascii="宋体" w:hAnsi="宋体"/>
          <w:color w:val="auto"/>
          <w:szCs w:val="21"/>
          <w:highlight w:val="none"/>
        </w:rPr>
        <w:t>主要在越野赛道、林道及其他非铺装路面环境使用的两轮电驱动摩托车。</w:t>
      </w:r>
      <w:bookmarkEnd w:id="39"/>
      <w:bookmarkEnd w:id="40"/>
      <w:bookmarkEnd w:id="41"/>
      <w:bookmarkEnd w:id="42"/>
      <w:bookmarkEnd w:id="43"/>
      <w:r>
        <w:t>本文件适用的产品归属于 GB/T 5359.1—2019 第 2.1.3.4 所界定的两轮越野摩托车（off‑road bike），主要在封闭赛道、训练场地、林道及其他非铺装路面环境使用，不以在公共道路上行驶为目的。提示：本文件所述产品不适用道路机动车相关强制性要求（如 GB 7258），不涉及 3C 认证及道路公告。</w:t>
      </w:r>
    </w:p>
    <w:p w14:paraId="6FD02943">
      <w:pPr>
        <w:pStyle w:val="56"/>
        <w:rPr>
          <w:color w:val="auto"/>
          <w:highlight w:val="none"/>
        </w:rPr>
      </w:pPr>
      <w:bookmarkStart w:id="44" w:name="_Toc19828134"/>
      <w:bookmarkStart w:id="45" w:name="_Toc10532"/>
      <w:bookmarkStart w:id="46" w:name="_Toc21646"/>
      <w:bookmarkStart w:id="47" w:name="_Toc17523"/>
      <w:bookmarkStart w:id="48" w:name="_Toc21516968"/>
      <w:bookmarkStart w:id="49" w:name="_Toc22306"/>
      <w:bookmarkStart w:id="50" w:name="_Toc489260168"/>
      <w:bookmarkStart w:id="51" w:name="_Toc19828166"/>
      <w:bookmarkStart w:id="52" w:name="_Toc202"/>
      <w:bookmarkStart w:id="53" w:name="_Toc16672"/>
      <w:bookmarkStart w:id="54" w:name="_Toc6118"/>
      <w:bookmarkStart w:id="55" w:name="_Toc489260118"/>
      <w:bookmarkStart w:id="56" w:name="_Toc19779"/>
      <w:bookmarkStart w:id="57" w:name="_Toc19826646"/>
      <w:bookmarkStart w:id="58" w:name="_Toc19875976"/>
      <w:bookmarkStart w:id="59" w:name="_Toc19828083"/>
      <w:r>
        <w:rPr>
          <w:color w:val="auto"/>
          <w:highlight w:val="none"/>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FCBD552">
      <w:pPr>
        <w:pStyle w:val="27"/>
        <w:rPr>
          <w:color w:val="auto"/>
          <w:highlight w:val="none"/>
        </w:rPr>
      </w:pPr>
      <w:bookmarkStart w:id="60" w:name="_Toc19875977"/>
      <w:bookmarkStart w:id="61" w:name="_Toc489260131"/>
      <w:bookmarkStart w:id="62" w:name="_Toc489260177"/>
      <w:r>
        <w:rPr>
          <w:rFonts w:hint="eastAsia"/>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B85ECC7">
      <w:pPr>
        <w:ind w:firstLine="420" w:firstLineChars="200"/>
        <w:rPr>
          <w:rFonts w:hint="eastAsia" w:ascii="宋体" w:hAnsi="宋体"/>
          <w:color w:val="auto"/>
          <w:szCs w:val="21"/>
          <w:highlight w:val="none"/>
        </w:rPr>
      </w:pPr>
      <w:r>
        <w:rPr>
          <w:rFonts w:hint="eastAsia" w:ascii="宋体" w:hAnsi="宋体"/>
          <w:color w:val="auto"/>
          <w:szCs w:val="21"/>
          <w:highlight w:val="none"/>
        </w:rPr>
        <w:t>GB/T 191—2008  包装储运图示标志</w:t>
      </w:r>
    </w:p>
    <w:p w14:paraId="2C52EA7E">
      <w:pPr>
        <w:ind w:firstLine="420" w:firstLineChars="200"/>
        <w:rPr>
          <w:rFonts w:hint="eastAsia" w:ascii="宋体" w:hAnsi="宋体"/>
          <w:color w:val="auto"/>
          <w:szCs w:val="21"/>
          <w:highlight w:val="none"/>
        </w:rPr>
      </w:pPr>
      <w:r>
        <w:rPr>
          <w:rFonts w:hint="eastAsia" w:ascii="宋体" w:hAnsi="宋体"/>
          <w:color w:val="auto"/>
          <w:szCs w:val="21"/>
          <w:highlight w:val="none"/>
        </w:rPr>
        <w:t>GB/T 4208  外壳防护等级（IP 代码）</w:t>
      </w:r>
    </w:p>
    <w:p w14:paraId="77025880">
      <w:pPr>
        <w:ind w:firstLine="420" w:firstLineChars="200"/>
        <w:rPr>
          <w:rFonts w:hint="eastAsia" w:ascii="宋体" w:hAnsi="宋体"/>
          <w:color w:val="auto"/>
          <w:szCs w:val="21"/>
          <w:highlight w:val="none"/>
        </w:rPr>
      </w:pPr>
      <w:r>
        <w:rPr>
          <w:rFonts w:hint="eastAsia" w:ascii="宋体" w:hAnsi="宋体"/>
          <w:color w:val="auto"/>
          <w:szCs w:val="21"/>
          <w:highlight w:val="none"/>
        </w:rPr>
        <w:t>GB/T 5359.1 摩托车和轻便摩托车术语第1部分:车辆类型</w:t>
      </w:r>
    </w:p>
    <w:p w14:paraId="5D981598">
      <w:pPr>
        <w:ind w:firstLine="420" w:firstLineChars="200"/>
        <w:rPr>
          <w:rFonts w:hint="eastAsia" w:ascii="宋体" w:hAnsi="宋体"/>
          <w:color w:val="auto"/>
          <w:szCs w:val="21"/>
          <w:highlight w:val="none"/>
        </w:rPr>
      </w:pPr>
      <w:r>
        <w:rPr>
          <w:rFonts w:hint="eastAsia" w:ascii="宋体" w:hAnsi="宋体"/>
          <w:color w:val="auto"/>
          <w:szCs w:val="21"/>
          <w:highlight w:val="none"/>
        </w:rPr>
        <w:t>GB/T 5359.2 摩托车和轻便摩托车术语第2部分:车辆性能</w:t>
      </w:r>
    </w:p>
    <w:p w14:paraId="74B0FB53">
      <w:pPr>
        <w:ind w:firstLine="420" w:firstLineChars="200"/>
        <w:rPr>
          <w:rFonts w:hint="eastAsia" w:ascii="宋体" w:hAnsi="宋体"/>
          <w:color w:val="auto"/>
          <w:szCs w:val="21"/>
          <w:highlight w:val="none"/>
        </w:rPr>
      </w:pPr>
      <w:r>
        <w:rPr>
          <w:rFonts w:hint="eastAsia" w:ascii="宋体" w:hAnsi="宋体"/>
          <w:color w:val="auto"/>
          <w:szCs w:val="21"/>
          <w:highlight w:val="none"/>
        </w:rPr>
        <w:t>GB/T 5359.3 摩托车和轻便摩托车术语第3部分:两轮车和三轮车尺寸</w:t>
      </w:r>
    </w:p>
    <w:p w14:paraId="08F0278E">
      <w:pPr>
        <w:ind w:firstLine="420" w:firstLineChars="200"/>
        <w:rPr>
          <w:rFonts w:hint="eastAsia" w:ascii="宋体" w:hAnsi="宋体"/>
          <w:color w:val="auto"/>
          <w:szCs w:val="21"/>
          <w:highlight w:val="none"/>
        </w:rPr>
      </w:pPr>
      <w:r>
        <w:rPr>
          <w:rFonts w:hint="eastAsia" w:ascii="宋体" w:hAnsi="宋体"/>
          <w:color w:val="auto"/>
          <w:szCs w:val="21"/>
          <w:highlight w:val="none"/>
        </w:rPr>
        <w:t>GB/T 5359.4 摩托车和轻便摩托车术语第4部分:两轮车和三轮车质量</w:t>
      </w:r>
    </w:p>
    <w:p w14:paraId="392DA8C7">
      <w:pPr>
        <w:ind w:firstLine="420" w:firstLineChars="200"/>
        <w:rPr>
          <w:rFonts w:hint="eastAsia" w:ascii="宋体" w:hAnsi="宋体"/>
          <w:color w:val="auto"/>
          <w:szCs w:val="21"/>
          <w:highlight w:val="none"/>
        </w:rPr>
      </w:pPr>
      <w:r>
        <w:rPr>
          <w:rFonts w:hint="eastAsia" w:ascii="宋体" w:hAnsi="宋体"/>
          <w:color w:val="auto"/>
          <w:szCs w:val="21"/>
          <w:highlight w:val="none"/>
        </w:rPr>
        <w:t>GB/T 15367 摩托车和轻便摩托车两轮车和三轮车零部件名称</w:t>
      </w:r>
    </w:p>
    <w:p w14:paraId="3F85B775">
      <w:pPr>
        <w:ind w:firstLine="420" w:firstLineChars="200"/>
        <w:rPr>
          <w:rFonts w:hint="eastAsia" w:ascii="宋体" w:hAnsi="宋体"/>
          <w:color w:val="auto"/>
          <w:szCs w:val="21"/>
          <w:highlight w:val="none"/>
        </w:rPr>
      </w:pPr>
      <w:r>
        <w:rPr>
          <w:rFonts w:hint="eastAsia" w:ascii="宋体" w:hAnsi="宋体"/>
          <w:color w:val="auto"/>
          <w:szCs w:val="21"/>
          <w:highlight w:val="none"/>
        </w:rPr>
        <w:t>GB/T 5373  摩托车和轻便摩托车尺寸和质量参数的测定方法</w:t>
      </w:r>
    </w:p>
    <w:p w14:paraId="07332673">
      <w:pPr>
        <w:ind w:firstLine="420" w:firstLineChars="200"/>
        <w:rPr>
          <w:rFonts w:hint="eastAsia" w:ascii="宋体" w:hAnsi="宋体"/>
          <w:color w:val="auto"/>
          <w:szCs w:val="21"/>
          <w:highlight w:val="none"/>
        </w:rPr>
      </w:pPr>
      <w:r>
        <w:rPr>
          <w:rFonts w:hint="eastAsia" w:ascii="宋体" w:hAnsi="宋体"/>
          <w:color w:val="auto"/>
          <w:szCs w:val="21"/>
          <w:highlight w:val="none"/>
        </w:rPr>
        <w:t>GB/T 5374  摩托车和轻便摩托车可靠性试验方法</w:t>
      </w:r>
    </w:p>
    <w:p w14:paraId="227968E6">
      <w:pPr>
        <w:ind w:firstLine="420" w:firstLineChars="200"/>
        <w:rPr>
          <w:rFonts w:hint="eastAsia" w:ascii="宋体" w:hAnsi="宋体"/>
          <w:color w:val="auto"/>
          <w:szCs w:val="21"/>
          <w:highlight w:val="none"/>
        </w:rPr>
      </w:pPr>
      <w:r>
        <w:rPr>
          <w:rFonts w:hint="eastAsia" w:ascii="宋体" w:hAnsi="宋体"/>
          <w:color w:val="auto"/>
          <w:szCs w:val="21"/>
          <w:highlight w:val="none"/>
        </w:rPr>
        <w:t>GB/T 5375  摩托车和轻便摩托车型号编制方法</w:t>
      </w:r>
    </w:p>
    <w:p w14:paraId="0B072B96">
      <w:pPr>
        <w:ind w:firstLine="420" w:firstLineChars="200"/>
        <w:rPr>
          <w:rFonts w:hint="eastAsia" w:ascii="宋体" w:hAnsi="宋体"/>
          <w:color w:val="auto"/>
          <w:szCs w:val="21"/>
          <w:highlight w:val="none"/>
        </w:rPr>
      </w:pPr>
      <w:r>
        <w:rPr>
          <w:rFonts w:hint="eastAsia" w:ascii="宋体" w:hAnsi="宋体"/>
          <w:color w:val="auto"/>
          <w:szCs w:val="21"/>
          <w:highlight w:val="none"/>
        </w:rPr>
        <w:t>GB/T 5378  摩托车和轻便摩托车道路试验方法</w:t>
      </w:r>
    </w:p>
    <w:p w14:paraId="34027C09">
      <w:pPr>
        <w:ind w:firstLine="420" w:firstLineChars="200"/>
        <w:rPr>
          <w:rFonts w:hint="eastAsia" w:ascii="宋体" w:hAnsi="宋体"/>
          <w:color w:val="auto"/>
          <w:szCs w:val="21"/>
          <w:highlight w:val="none"/>
        </w:rPr>
      </w:pPr>
      <w:r>
        <w:rPr>
          <w:rFonts w:hint="eastAsia" w:ascii="宋体" w:hAnsi="宋体"/>
          <w:color w:val="auto"/>
          <w:szCs w:val="21"/>
          <w:highlight w:val="none"/>
        </w:rPr>
        <w:t>GB/T 13384  机电产品包装通用技术条件</w:t>
      </w:r>
    </w:p>
    <w:p w14:paraId="28C1955F">
      <w:pPr>
        <w:ind w:firstLine="420" w:firstLineChars="200"/>
        <w:rPr>
          <w:rFonts w:hint="eastAsia" w:ascii="宋体" w:hAnsi="宋体"/>
          <w:color w:val="auto"/>
          <w:szCs w:val="21"/>
          <w:highlight w:val="none"/>
        </w:rPr>
      </w:pPr>
      <w:r>
        <w:rPr>
          <w:rFonts w:hint="eastAsia" w:ascii="宋体" w:hAnsi="宋体"/>
          <w:color w:val="auto"/>
          <w:szCs w:val="21"/>
          <w:highlight w:val="none"/>
        </w:rPr>
        <w:t>GB/T 18387  电动车辆的电磁场发射强度的限值和测量方法</w:t>
      </w:r>
    </w:p>
    <w:p w14:paraId="6023ED0B">
      <w:pPr>
        <w:ind w:firstLine="420" w:firstLineChars="200"/>
        <w:rPr>
          <w:rFonts w:hint="eastAsia" w:ascii="宋体" w:hAnsi="宋体"/>
          <w:color w:val="auto"/>
          <w:szCs w:val="21"/>
          <w:highlight w:val="none"/>
        </w:rPr>
      </w:pPr>
      <w:r>
        <w:rPr>
          <w:rFonts w:hint="eastAsia" w:ascii="宋体" w:hAnsi="宋体"/>
          <w:color w:val="auto"/>
          <w:szCs w:val="21"/>
          <w:highlight w:val="none"/>
        </w:rPr>
        <w:t>GB/T 19596 电动汽车术语</w:t>
      </w:r>
    </w:p>
    <w:p w14:paraId="7D94E938">
      <w:pPr>
        <w:ind w:firstLine="420" w:firstLineChars="200"/>
        <w:rPr>
          <w:rFonts w:hint="eastAsia" w:ascii="宋体" w:hAnsi="宋体"/>
          <w:color w:val="auto"/>
          <w:szCs w:val="21"/>
          <w:highlight w:val="none"/>
        </w:rPr>
      </w:pPr>
      <w:r>
        <w:rPr>
          <w:rFonts w:hint="eastAsia" w:ascii="宋体" w:hAnsi="宋体"/>
          <w:color w:val="auto"/>
          <w:szCs w:val="21"/>
          <w:highlight w:val="none"/>
        </w:rPr>
        <w:t>GB/T 24156  电动摩托车和电动轻便摩托车 动力性能 试验方法</w:t>
      </w:r>
    </w:p>
    <w:p w14:paraId="6E7CB33C">
      <w:pPr>
        <w:ind w:firstLine="420" w:firstLineChars="200"/>
        <w:rPr>
          <w:rFonts w:hint="eastAsia" w:ascii="宋体" w:hAnsi="宋体"/>
          <w:color w:val="auto"/>
          <w:szCs w:val="21"/>
          <w:highlight w:val="none"/>
        </w:rPr>
      </w:pPr>
      <w:r>
        <w:rPr>
          <w:rFonts w:hint="eastAsia" w:ascii="宋体" w:hAnsi="宋体"/>
          <w:color w:val="auto"/>
          <w:szCs w:val="21"/>
          <w:highlight w:val="none"/>
        </w:rPr>
        <w:t>GB/T 24157  电动摩托车和电动轻便摩托车续驶里程及残电指示试验方法</w:t>
      </w:r>
    </w:p>
    <w:p w14:paraId="01EB9111">
      <w:pPr>
        <w:ind w:firstLine="420" w:firstLineChars="200"/>
        <w:rPr>
          <w:rFonts w:hint="eastAsia" w:ascii="宋体" w:hAnsi="宋体"/>
          <w:color w:val="auto"/>
          <w:szCs w:val="21"/>
          <w:highlight w:val="none"/>
        </w:rPr>
      </w:pPr>
      <w:r>
        <w:rPr>
          <w:rFonts w:hint="eastAsia" w:ascii="宋体" w:hAnsi="宋体"/>
          <w:color w:val="auto"/>
          <w:szCs w:val="21"/>
          <w:highlight w:val="none"/>
        </w:rPr>
        <w:t>GB/T 24158—2018 电动摩托车和电动轻便摩托车通用技术条件</w:t>
      </w:r>
    </w:p>
    <w:p w14:paraId="7CA22E20">
      <w:pPr>
        <w:ind w:firstLine="420" w:firstLineChars="200"/>
        <w:rPr>
          <w:rFonts w:hint="eastAsia" w:ascii="宋体" w:hAnsi="宋体"/>
          <w:color w:val="auto"/>
          <w:szCs w:val="21"/>
          <w:highlight w:val="none"/>
        </w:rPr>
      </w:pPr>
      <w:r>
        <w:rPr>
          <w:rFonts w:hint="eastAsia" w:ascii="宋体" w:hAnsi="宋体"/>
          <w:color w:val="auto"/>
          <w:szCs w:val="21"/>
          <w:highlight w:val="none"/>
        </w:rPr>
        <w:t>GB/T 36672  电动摩托车和电动轻便摩托车用锂离子电池</w:t>
      </w:r>
    </w:p>
    <w:p w14:paraId="33B8145D">
      <w:pPr>
        <w:ind w:firstLine="420" w:firstLineChars="200"/>
        <w:rPr>
          <w:rFonts w:hint="eastAsia" w:ascii="宋体" w:hAnsi="宋体"/>
          <w:color w:val="auto"/>
          <w:szCs w:val="21"/>
          <w:highlight w:val="none"/>
        </w:rPr>
      </w:pPr>
      <w:r>
        <w:rPr>
          <w:rFonts w:hint="eastAsia" w:ascii="宋体" w:hAnsi="宋体"/>
          <w:color w:val="auto"/>
          <w:szCs w:val="21"/>
          <w:highlight w:val="none"/>
        </w:rPr>
        <w:t>GB/T 37338  电动摩托车和电动轻便摩托车用仪表</w:t>
      </w:r>
    </w:p>
    <w:p w14:paraId="6B62A9FA">
      <w:pPr>
        <w:ind w:firstLine="420" w:firstLineChars="200"/>
        <w:rPr>
          <w:rFonts w:hint="eastAsia" w:ascii="宋体" w:hAnsi="宋体"/>
          <w:color w:val="auto"/>
          <w:szCs w:val="21"/>
          <w:highlight w:val="none"/>
        </w:rPr>
      </w:pPr>
      <w:r>
        <w:rPr>
          <w:rFonts w:hint="eastAsia" w:ascii="宋体" w:hAnsi="宋体"/>
          <w:color w:val="auto"/>
          <w:szCs w:val="21"/>
          <w:highlight w:val="none"/>
        </w:rPr>
        <w:t>GB/T 44852 电动摩托车和电动轻便摩托车 与外部电源传导连接的安全要求</w:t>
      </w:r>
    </w:p>
    <w:p w14:paraId="60601A18">
      <w:pPr>
        <w:ind w:firstLine="420" w:firstLineChars="200"/>
        <w:rPr>
          <w:rFonts w:hint="eastAsia" w:ascii="宋体" w:hAnsi="宋体"/>
          <w:color w:val="auto"/>
          <w:szCs w:val="21"/>
          <w:highlight w:val="none"/>
        </w:rPr>
      </w:pPr>
      <w:r>
        <w:rPr>
          <w:rFonts w:hint="eastAsia" w:ascii="宋体" w:hAnsi="宋体"/>
          <w:color w:val="auto"/>
          <w:szCs w:val="21"/>
          <w:highlight w:val="none"/>
        </w:rPr>
        <w:t>GB 518  摩托车轮胎</w:t>
      </w:r>
    </w:p>
    <w:p w14:paraId="6EC39B40">
      <w:pPr>
        <w:ind w:firstLine="420" w:firstLineChars="200"/>
        <w:rPr>
          <w:rFonts w:hint="eastAsia" w:ascii="宋体" w:hAnsi="宋体"/>
          <w:color w:val="auto"/>
          <w:szCs w:val="21"/>
          <w:highlight w:val="none"/>
        </w:rPr>
      </w:pPr>
      <w:r>
        <w:rPr>
          <w:rFonts w:hint="eastAsia" w:ascii="宋体" w:hAnsi="宋体"/>
          <w:color w:val="auto"/>
          <w:szCs w:val="21"/>
          <w:highlight w:val="none"/>
        </w:rPr>
        <w:t>GB 14023 车辆、船和内燃机 无线电骚扰特性 用于保护车外接收机的限值和测量方法</w:t>
      </w:r>
    </w:p>
    <w:p w14:paraId="2B45B5C1">
      <w:pPr>
        <w:ind w:firstLine="420" w:firstLineChars="200"/>
        <w:rPr>
          <w:rFonts w:hint="eastAsia" w:ascii="宋体" w:hAnsi="宋体"/>
          <w:color w:val="auto"/>
          <w:szCs w:val="21"/>
          <w:highlight w:val="none"/>
        </w:rPr>
      </w:pPr>
      <w:r>
        <w:rPr>
          <w:rFonts w:hint="eastAsia" w:ascii="宋体" w:hAnsi="宋体"/>
          <w:color w:val="auto"/>
          <w:szCs w:val="21"/>
          <w:highlight w:val="none"/>
        </w:rPr>
        <w:t>GB 15084 机动车辆 间接视野装置 性能和安装要求</w:t>
      </w:r>
    </w:p>
    <w:p w14:paraId="4E20819A">
      <w:pPr>
        <w:ind w:firstLine="420" w:firstLineChars="200"/>
        <w:rPr>
          <w:rFonts w:hint="eastAsia" w:ascii="宋体" w:hAnsi="宋体"/>
          <w:color w:val="auto"/>
          <w:szCs w:val="21"/>
          <w:highlight w:val="none"/>
        </w:rPr>
      </w:pPr>
      <w:r>
        <w:rPr>
          <w:rFonts w:hint="eastAsia" w:ascii="宋体" w:hAnsi="宋体"/>
          <w:color w:val="auto"/>
          <w:szCs w:val="21"/>
          <w:highlight w:val="none"/>
        </w:rPr>
        <w:t>GB 15365  摩托车和轻便摩托车操纵件、指示器及信号装置的图形符号</w:t>
      </w:r>
    </w:p>
    <w:p w14:paraId="7C431491">
      <w:pPr>
        <w:ind w:firstLine="420" w:firstLineChars="200"/>
        <w:rPr>
          <w:rFonts w:hint="eastAsia" w:ascii="宋体" w:hAnsi="宋体"/>
          <w:color w:val="auto"/>
          <w:szCs w:val="21"/>
          <w:highlight w:val="none"/>
        </w:rPr>
      </w:pPr>
      <w:r>
        <w:rPr>
          <w:rFonts w:hint="eastAsia" w:ascii="宋体" w:hAnsi="宋体"/>
          <w:color w:val="auto"/>
          <w:szCs w:val="21"/>
          <w:highlight w:val="none"/>
        </w:rPr>
        <w:t>GB 15742  机动车用喇叭的性能要求及试验方法</w:t>
      </w:r>
    </w:p>
    <w:p w14:paraId="0636968A">
      <w:pPr>
        <w:ind w:firstLine="420" w:firstLineChars="200"/>
        <w:rPr>
          <w:rFonts w:hint="eastAsia" w:ascii="宋体" w:hAnsi="宋体"/>
          <w:color w:val="auto"/>
          <w:szCs w:val="21"/>
          <w:highlight w:val="none"/>
        </w:rPr>
      </w:pPr>
      <w:r>
        <w:rPr>
          <w:rFonts w:hint="eastAsia" w:ascii="宋体" w:hAnsi="宋体"/>
          <w:color w:val="auto"/>
          <w:szCs w:val="21"/>
          <w:highlight w:val="none"/>
        </w:rPr>
        <w:t>GB 16735 道路车辆 车辆识别代号（VIN）</w:t>
      </w:r>
    </w:p>
    <w:p w14:paraId="66F30991">
      <w:pPr>
        <w:ind w:firstLine="420" w:firstLineChars="200"/>
        <w:rPr>
          <w:rFonts w:hint="eastAsia" w:ascii="宋体" w:hAnsi="宋体"/>
          <w:color w:val="auto"/>
          <w:szCs w:val="21"/>
          <w:highlight w:val="none"/>
        </w:rPr>
      </w:pPr>
      <w:r>
        <w:rPr>
          <w:rFonts w:hint="eastAsia" w:ascii="宋体" w:hAnsi="宋体"/>
          <w:color w:val="auto"/>
          <w:szCs w:val="21"/>
          <w:highlight w:val="none"/>
        </w:rPr>
        <w:t>GB 17352  摩托车和轻便摩托车后视镜的性能和安装要求</w:t>
      </w:r>
    </w:p>
    <w:p w14:paraId="1A20959D">
      <w:pPr>
        <w:ind w:firstLine="420" w:firstLineChars="200"/>
        <w:rPr>
          <w:rFonts w:hint="eastAsia" w:ascii="宋体" w:hAnsi="宋体"/>
          <w:color w:val="auto"/>
          <w:szCs w:val="21"/>
          <w:highlight w:val="none"/>
        </w:rPr>
      </w:pPr>
      <w:r>
        <w:rPr>
          <w:rFonts w:hint="eastAsia" w:ascii="宋体" w:hAnsi="宋体"/>
          <w:color w:val="auto"/>
          <w:szCs w:val="21"/>
          <w:highlight w:val="none"/>
        </w:rPr>
        <w:t>GB 17353  摩托车和轻便摩托车防盗装置</w:t>
      </w:r>
    </w:p>
    <w:p w14:paraId="0B7238BC">
      <w:pPr>
        <w:ind w:firstLine="420" w:firstLineChars="200"/>
        <w:rPr>
          <w:rFonts w:hint="eastAsia" w:ascii="宋体" w:hAnsi="宋体"/>
          <w:color w:val="auto"/>
          <w:szCs w:val="21"/>
          <w:highlight w:val="none"/>
        </w:rPr>
      </w:pPr>
      <w:r>
        <w:rPr>
          <w:rFonts w:hint="eastAsia" w:ascii="宋体" w:hAnsi="宋体"/>
          <w:color w:val="auto"/>
          <w:szCs w:val="21"/>
          <w:highlight w:val="none"/>
        </w:rPr>
        <w:t>GB 20073  摩托车和轻便摩托车制动性能要求及试验方法</w:t>
      </w:r>
    </w:p>
    <w:p w14:paraId="0CBDDC1E">
      <w:pPr>
        <w:ind w:firstLine="420" w:firstLineChars="200"/>
        <w:rPr>
          <w:rFonts w:hint="eastAsia" w:ascii="宋体" w:hAnsi="宋体"/>
          <w:color w:val="auto"/>
          <w:szCs w:val="21"/>
          <w:highlight w:val="none"/>
        </w:rPr>
      </w:pPr>
      <w:r>
        <w:rPr>
          <w:rFonts w:hint="eastAsia" w:ascii="宋体" w:hAnsi="宋体"/>
          <w:color w:val="auto"/>
          <w:szCs w:val="21"/>
          <w:highlight w:val="none"/>
        </w:rPr>
        <w:t>GB 20074  摩托车和轻便摩托车外部凸出物</w:t>
      </w:r>
    </w:p>
    <w:p w14:paraId="7A1989C5">
      <w:pPr>
        <w:ind w:firstLine="420" w:firstLineChars="200"/>
        <w:rPr>
          <w:rFonts w:hint="eastAsia" w:ascii="宋体" w:hAnsi="宋体"/>
          <w:color w:val="auto"/>
          <w:szCs w:val="21"/>
          <w:highlight w:val="none"/>
        </w:rPr>
      </w:pPr>
      <w:r>
        <w:rPr>
          <w:rFonts w:hint="eastAsia" w:ascii="宋体" w:hAnsi="宋体"/>
          <w:color w:val="auto"/>
          <w:szCs w:val="21"/>
          <w:highlight w:val="none"/>
        </w:rPr>
        <w:t>GB 24155  电动摩托车和电动轻便摩托车安全要求</w:t>
      </w:r>
    </w:p>
    <w:p w14:paraId="675CB2C6">
      <w:pPr>
        <w:ind w:firstLine="420" w:firstLineChars="200"/>
        <w:rPr>
          <w:rFonts w:hint="eastAsia" w:ascii="宋体" w:hAnsi="宋体"/>
          <w:color w:val="auto"/>
          <w:szCs w:val="21"/>
          <w:highlight w:val="none"/>
        </w:rPr>
      </w:pPr>
      <w:r>
        <w:rPr>
          <w:rFonts w:hint="eastAsia" w:ascii="宋体" w:hAnsi="宋体"/>
          <w:color w:val="auto"/>
          <w:szCs w:val="21"/>
          <w:highlight w:val="none"/>
        </w:rPr>
        <w:t>GB 34660  道路车辆 电磁兼容性要求和试验方法</w:t>
      </w:r>
    </w:p>
    <w:p w14:paraId="709A1680">
      <w:pPr>
        <w:ind w:firstLine="420" w:firstLineChars="200"/>
        <w:rPr>
          <w:rFonts w:hint="eastAsia" w:ascii="宋体" w:hAnsi="宋体"/>
          <w:color w:val="auto"/>
          <w:szCs w:val="21"/>
          <w:highlight w:val="none"/>
        </w:rPr>
      </w:pPr>
      <w:r>
        <w:rPr>
          <w:rFonts w:hint="eastAsia" w:ascii="宋体" w:hAnsi="宋体"/>
          <w:color w:val="auto"/>
          <w:szCs w:val="21"/>
          <w:highlight w:val="none"/>
        </w:rPr>
        <w:t>QC/T 792 电动摩托车和电动轻便摩托车驱动用电机及其控制器</w:t>
      </w:r>
    </w:p>
    <w:p w14:paraId="516FEC84">
      <w:pPr>
        <w:pStyle w:val="56"/>
        <w:rPr>
          <w:color w:val="auto"/>
          <w:highlight w:val="none"/>
        </w:rPr>
      </w:pPr>
      <w:bookmarkStart w:id="63" w:name="_Toc8687"/>
      <w:bookmarkStart w:id="64" w:name="_Toc3583"/>
      <w:bookmarkStart w:id="65" w:name="_Toc20052"/>
      <w:bookmarkStart w:id="66" w:name="_Toc28321"/>
      <w:bookmarkStart w:id="67" w:name="_Toc8832"/>
      <w:bookmarkStart w:id="68" w:name="_Toc20661"/>
      <w:bookmarkStart w:id="69" w:name="_Toc21516969"/>
      <w:bookmarkStart w:id="70" w:name="_Toc8853"/>
      <w:bookmarkStart w:id="71" w:name="_Toc15621"/>
      <w:r>
        <w:rPr>
          <w:rFonts w:hint="eastAsia"/>
          <w:color w:val="auto"/>
          <w:highlight w:val="none"/>
        </w:rPr>
        <w:t>术语</w:t>
      </w:r>
      <w:r>
        <w:rPr>
          <w:color w:val="auto"/>
          <w:highlight w:val="none"/>
        </w:rPr>
        <w:t>和定义</w:t>
      </w:r>
      <w:bookmarkEnd w:id="60"/>
      <w:bookmarkEnd w:id="63"/>
      <w:bookmarkEnd w:id="64"/>
      <w:bookmarkEnd w:id="65"/>
      <w:bookmarkEnd w:id="66"/>
      <w:bookmarkEnd w:id="67"/>
      <w:bookmarkEnd w:id="68"/>
      <w:bookmarkEnd w:id="69"/>
      <w:bookmarkEnd w:id="70"/>
      <w:bookmarkEnd w:id="71"/>
    </w:p>
    <w:p w14:paraId="5155DC41">
      <w:pPr>
        <w:pStyle w:val="27"/>
        <w:rPr>
          <w:rFonts w:hint="eastAsia"/>
          <w:color w:val="auto"/>
          <w:highlight w:val="none"/>
        </w:rPr>
      </w:pPr>
      <w:r>
        <w:rPr>
          <w:rFonts w:hint="eastAsia"/>
          <w:color w:val="auto"/>
          <w:highlight w:val="none"/>
        </w:rPr>
        <w:t>GB/T 5359.1</w:t>
      </w:r>
      <w:r>
        <w:rPr>
          <w:rFonts w:hint="eastAsia"/>
          <w:color w:val="auto"/>
          <w:highlight w:val="none"/>
          <w:lang w:val="en-US" w:eastAsia="zh-CN"/>
        </w:rPr>
        <w:t>、</w:t>
      </w:r>
      <w:r>
        <w:rPr>
          <w:rFonts w:hint="eastAsia"/>
          <w:color w:val="auto"/>
          <w:highlight w:val="none"/>
        </w:rPr>
        <w:t>GB/T</w:t>
      </w:r>
      <w:r>
        <w:rPr>
          <w:rFonts w:hint="eastAsia"/>
          <w:color w:val="auto"/>
          <w:highlight w:val="none"/>
          <w:lang w:val="en-US" w:eastAsia="zh-CN"/>
        </w:rPr>
        <w:t xml:space="preserve"> </w:t>
      </w:r>
      <w:r>
        <w:rPr>
          <w:rFonts w:hint="eastAsia"/>
          <w:color w:val="auto"/>
          <w:highlight w:val="none"/>
        </w:rPr>
        <w:t>5359.</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GB/T</w:t>
      </w:r>
      <w:r>
        <w:rPr>
          <w:rFonts w:hint="eastAsia"/>
          <w:color w:val="auto"/>
          <w:highlight w:val="none"/>
          <w:lang w:val="en-US" w:eastAsia="zh-CN"/>
        </w:rPr>
        <w:t xml:space="preserve"> </w:t>
      </w:r>
      <w:r>
        <w:rPr>
          <w:rFonts w:hint="eastAsia"/>
          <w:color w:val="auto"/>
          <w:highlight w:val="none"/>
        </w:rPr>
        <w:t>5359.</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GB/T</w:t>
      </w:r>
      <w:r>
        <w:rPr>
          <w:rFonts w:hint="eastAsia"/>
          <w:color w:val="auto"/>
          <w:highlight w:val="none"/>
          <w:lang w:val="en-US" w:eastAsia="zh-CN"/>
        </w:rPr>
        <w:t xml:space="preserve"> </w:t>
      </w:r>
      <w:r>
        <w:rPr>
          <w:rFonts w:hint="eastAsia"/>
          <w:color w:val="auto"/>
          <w:highlight w:val="none"/>
        </w:rPr>
        <w:t>5359.4、GB/T</w:t>
      </w:r>
      <w:r>
        <w:rPr>
          <w:rFonts w:hint="eastAsia"/>
          <w:color w:val="auto"/>
          <w:highlight w:val="none"/>
          <w:lang w:val="en-US" w:eastAsia="zh-CN"/>
        </w:rPr>
        <w:t xml:space="preserve"> </w:t>
      </w:r>
      <w:r>
        <w:rPr>
          <w:rFonts w:hint="eastAsia"/>
          <w:color w:val="auto"/>
          <w:highlight w:val="none"/>
        </w:rPr>
        <w:t>15367、GB/T</w:t>
      </w:r>
      <w:r>
        <w:rPr>
          <w:rFonts w:hint="eastAsia"/>
          <w:color w:val="auto"/>
          <w:highlight w:val="none"/>
          <w:lang w:val="en-US" w:eastAsia="zh-CN"/>
        </w:rPr>
        <w:t xml:space="preserve"> </w:t>
      </w:r>
      <w:r>
        <w:rPr>
          <w:rFonts w:hint="eastAsia"/>
          <w:color w:val="auto"/>
          <w:highlight w:val="none"/>
        </w:rPr>
        <w:t>19596和GB</w:t>
      </w:r>
      <w:r>
        <w:rPr>
          <w:rFonts w:hint="eastAsia"/>
          <w:color w:val="auto"/>
          <w:highlight w:val="none"/>
          <w:lang w:val="en-US" w:eastAsia="zh-CN"/>
        </w:rPr>
        <w:t xml:space="preserve"> </w:t>
      </w:r>
      <w:r>
        <w:rPr>
          <w:rFonts w:hint="eastAsia"/>
          <w:color w:val="auto"/>
          <w:highlight w:val="none"/>
        </w:rPr>
        <w:t>24155界定的</w:t>
      </w:r>
      <w:r>
        <w:rPr>
          <w:rFonts w:hint="eastAsia"/>
          <w:color w:val="auto"/>
          <w:highlight w:val="none"/>
          <w:lang w:val="en-US" w:eastAsia="zh-CN"/>
        </w:rPr>
        <w:t>及以下</w:t>
      </w:r>
      <w:r>
        <w:rPr>
          <w:rFonts w:hint="eastAsia"/>
          <w:color w:val="auto"/>
          <w:highlight w:val="none"/>
        </w:rPr>
        <w:t>术语和定义适用于本文件。</w:t>
      </w:r>
    </w:p>
    <w:p w14:paraId="3911A3E9">
      <w:pPr>
        <w:pStyle w:val="83"/>
        <w:rPr>
          <w:rFonts w:hint="eastAsia"/>
          <w:color w:val="auto"/>
          <w:highlight w:val="none"/>
        </w:rPr>
      </w:pPr>
    </w:p>
    <w:p w14:paraId="59810AED">
      <w:pPr>
        <w:pStyle w:val="27"/>
        <w:rPr>
          <w:rFonts w:hint="eastAsia" w:ascii="黑体" w:hAnsi="黑体" w:eastAsia="黑体" w:cs="黑体"/>
          <w:color w:val="auto"/>
          <w:highlight w:val="none"/>
          <w:lang w:val="en-US" w:eastAsia="zh-CN"/>
        </w:rPr>
      </w:pPr>
      <w:r>
        <w:rPr>
          <w:rFonts w:hint="eastAsia" w:ascii="黑体" w:hAnsi="黑体" w:eastAsia="黑体" w:cs="黑体"/>
          <w:color w:val="auto"/>
          <w:highlight w:val="none"/>
        </w:rPr>
        <w:t>电动两轮越野摩托车</w:t>
      </w:r>
      <w:r>
        <w:rPr>
          <w:rFonts w:hint="eastAsia" w:ascii="黑体" w:hAnsi="黑体" w:eastAsia="黑体" w:cs="黑体"/>
          <w:color w:val="auto"/>
          <w:highlight w:val="none"/>
          <w:lang w:val="en-US" w:eastAsia="zh-CN"/>
        </w:rPr>
        <w:t xml:space="preserve"> e</w:t>
      </w:r>
      <w:r>
        <w:rPr>
          <w:rFonts w:hint="eastAsia" w:ascii="黑体" w:hAnsi="黑体" w:eastAsia="黑体" w:cs="黑体"/>
          <w:color w:val="auto"/>
          <w:highlight w:val="none"/>
        </w:rPr>
        <w:t>lectric</w:t>
      </w:r>
      <w:r>
        <w:rPr>
          <w:rFonts w:hint="eastAsia" w:ascii="黑体" w:hAnsi="黑体" w:eastAsia="黑体" w:cs="黑体"/>
          <w:color w:val="auto"/>
          <w:highlight w:val="none"/>
          <w:lang w:val="en-US" w:eastAsia="zh-CN"/>
        </w:rPr>
        <w:t xml:space="preserve"> </w:t>
      </w:r>
      <w:r>
        <w:rPr>
          <w:rFonts w:hint="eastAsia" w:ascii="黑体" w:hAnsi="黑体" w:eastAsia="黑体" w:cs="黑体"/>
          <w:color w:val="auto"/>
          <w:highlight w:val="none"/>
        </w:rPr>
        <w:t>off</w:t>
      </w:r>
      <w:r>
        <w:rPr>
          <w:rFonts w:hint="eastAsia" w:ascii="黑体" w:hAnsi="黑体" w:eastAsia="黑体" w:cs="黑体"/>
          <w:color w:val="auto"/>
          <w:highlight w:val="none"/>
          <w:lang w:val="en-US" w:eastAsia="zh-CN"/>
        </w:rPr>
        <w:t>-</w:t>
      </w:r>
      <w:r>
        <w:rPr>
          <w:rFonts w:hint="eastAsia" w:ascii="黑体" w:hAnsi="黑体" w:eastAsia="黑体" w:cs="黑体"/>
          <w:color w:val="auto"/>
          <w:highlight w:val="none"/>
        </w:rPr>
        <w:t>road bike</w:t>
      </w:r>
    </w:p>
    <w:p w14:paraId="5A0F8269">
      <w:pPr>
        <w:pStyle w:val="27"/>
        <w:rPr>
          <w:rFonts w:hint="eastAsia" w:hAnsi="宋体"/>
          <w:color w:val="auto"/>
          <w:szCs w:val="21"/>
          <w:highlight w:val="none"/>
        </w:rPr>
      </w:pPr>
      <w:r>
        <w:rPr>
          <w:rFonts w:hint="eastAsia" w:hAnsi="宋体"/>
          <w:color w:val="auto"/>
          <w:szCs w:val="21"/>
          <w:highlight w:val="none"/>
        </w:rPr>
        <w:t>以电驱动系统为动力的两轮越野摩托车。</w:t>
      </w:r>
    </w:p>
    <w:p w14:paraId="2576F18D">
      <w:pPr>
        <w:pStyle w:val="83"/>
        <w:rPr>
          <w:rFonts w:hint="eastAsia"/>
          <w:color w:val="auto"/>
          <w:highlight w:val="none"/>
        </w:rPr>
      </w:pPr>
    </w:p>
    <w:p w14:paraId="0A88F392">
      <w:pPr>
        <w:pStyle w:val="27"/>
        <w:rPr>
          <w:rFonts w:hint="eastAsia"/>
          <w:color w:val="auto"/>
          <w:highlight w:val="none"/>
        </w:rPr>
      </w:pPr>
      <w:r>
        <w:rPr>
          <w:rFonts w:hint="eastAsia" w:ascii="黑体" w:eastAsia="黑体"/>
          <w:color w:val="auto"/>
          <w:szCs w:val="21"/>
          <w:highlight w:val="none"/>
        </w:rPr>
        <w:t>紧急断电装置</w:t>
      </w:r>
      <w:r>
        <w:rPr>
          <w:rFonts w:hint="eastAsia" w:ascii="黑体" w:eastAsia="黑体"/>
          <w:color w:val="auto"/>
          <w:szCs w:val="21"/>
          <w:highlight w:val="none"/>
          <w:lang w:val="en-US" w:eastAsia="zh-CN"/>
        </w:rPr>
        <w:t xml:space="preserve"> </w:t>
      </w:r>
      <w:r>
        <w:rPr>
          <w:rFonts w:hint="eastAsia" w:ascii="黑体" w:eastAsia="黑体" w:cs="Times New Roman"/>
          <w:color w:val="auto"/>
          <w:szCs w:val="21"/>
          <w:highlight w:val="none"/>
          <w:lang w:val="en-US" w:eastAsia="zh-CN"/>
        </w:rPr>
        <w:t>k</w:t>
      </w:r>
      <w:r>
        <w:rPr>
          <w:rFonts w:hint="eastAsia" w:ascii="黑体" w:eastAsia="黑体"/>
          <w:color w:val="auto"/>
          <w:szCs w:val="21"/>
          <w:highlight w:val="none"/>
        </w:rPr>
        <w:t>ill switch</w:t>
      </w:r>
    </w:p>
    <w:p w14:paraId="6C237D6B">
      <w:pPr>
        <w:pStyle w:val="27"/>
        <w:rPr>
          <w:rFonts w:hint="eastAsia"/>
          <w:color w:val="auto"/>
          <w:highlight w:val="none"/>
        </w:rPr>
      </w:pPr>
      <w:r>
        <w:rPr>
          <w:rFonts w:hint="eastAsia"/>
          <w:color w:val="auto"/>
          <w:highlight w:val="none"/>
        </w:rPr>
        <w:t>骑手在把手位置即可触发、用于立即切断牵引功率的装置。</w:t>
      </w:r>
    </w:p>
    <w:p w14:paraId="077470AD">
      <w:pPr>
        <w:pStyle w:val="83"/>
        <w:rPr>
          <w:rFonts w:hint="eastAsia"/>
          <w:color w:val="auto"/>
          <w:highlight w:val="none"/>
        </w:rPr>
      </w:pPr>
    </w:p>
    <w:p w14:paraId="2FA70631">
      <w:pPr>
        <w:pStyle w:val="27"/>
        <w:rPr>
          <w:rFonts w:hint="eastAsia"/>
          <w:color w:val="auto"/>
          <w:highlight w:val="none"/>
        </w:rPr>
      </w:pPr>
      <w:r>
        <w:rPr>
          <w:rFonts w:hint="eastAsia" w:ascii="黑体" w:eastAsia="黑体"/>
          <w:color w:val="auto"/>
          <w:szCs w:val="21"/>
          <w:highlight w:val="none"/>
        </w:rPr>
        <w:t>翻倒断电</w:t>
      </w:r>
      <w:r>
        <w:rPr>
          <w:rFonts w:hint="eastAsia" w:ascii="黑体" w:eastAsia="黑体"/>
          <w:color w:val="auto"/>
          <w:szCs w:val="21"/>
          <w:highlight w:val="none"/>
          <w:lang w:val="en-US" w:eastAsia="zh-CN"/>
        </w:rPr>
        <w:t xml:space="preserve"> </w:t>
      </w:r>
      <w:r>
        <w:rPr>
          <w:rFonts w:hint="eastAsia" w:ascii="黑体" w:eastAsia="黑体"/>
          <w:color w:val="auto"/>
          <w:szCs w:val="21"/>
          <w:highlight w:val="none"/>
        </w:rPr>
        <w:t>tilt</w:t>
      </w:r>
      <w:r>
        <w:rPr>
          <w:rFonts w:hint="eastAsia" w:ascii="黑体" w:eastAsia="黑体"/>
          <w:color w:val="auto"/>
          <w:szCs w:val="21"/>
          <w:highlight w:val="none"/>
        </w:rPr>
        <w:noBreakHyphen/>
      </w:r>
      <w:r>
        <w:rPr>
          <w:rFonts w:hint="eastAsia" w:ascii="黑体" w:eastAsia="黑体"/>
          <w:color w:val="auto"/>
          <w:szCs w:val="21"/>
          <w:highlight w:val="none"/>
        </w:rPr>
        <w:t>cutoff</w:t>
      </w:r>
    </w:p>
    <w:p w14:paraId="377328A5">
      <w:pPr>
        <w:pStyle w:val="27"/>
        <w:rPr>
          <w:rFonts w:hint="eastAsia"/>
          <w:color w:val="auto"/>
          <w:highlight w:val="none"/>
        </w:rPr>
      </w:pPr>
      <w:r>
        <w:rPr>
          <w:rFonts w:hint="eastAsia"/>
          <w:color w:val="auto"/>
          <w:highlight w:val="none"/>
        </w:rPr>
        <w:t>车辆侧倾达到设定阈值时，自动切断高压主回路的功能。</w:t>
      </w:r>
    </w:p>
    <w:p w14:paraId="102B8A92">
      <w:pPr>
        <w:pStyle w:val="83"/>
        <w:rPr>
          <w:rFonts w:hint="eastAsia"/>
          <w:color w:val="auto"/>
          <w:highlight w:val="none"/>
        </w:rPr>
      </w:pPr>
    </w:p>
    <w:p w14:paraId="5CCBF1B3">
      <w:pPr>
        <w:pStyle w:val="27"/>
        <w:rPr>
          <w:rFonts w:hint="eastAsia"/>
          <w:color w:val="auto"/>
          <w:highlight w:val="none"/>
        </w:rPr>
      </w:pPr>
      <w:r>
        <w:rPr>
          <w:rFonts w:hint="eastAsia" w:ascii="黑体" w:eastAsia="黑体"/>
          <w:color w:val="auto"/>
          <w:szCs w:val="21"/>
          <w:highlight w:val="none"/>
        </w:rPr>
        <w:t>快换电池</w:t>
      </w:r>
      <w:r>
        <w:rPr>
          <w:rFonts w:hint="eastAsia" w:ascii="黑体" w:eastAsia="黑体"/>
          <w:color w:val="auto"/>
          <w:szCs w:val="21"/>
          <w:highlight w:val="none"/>
          <w:lang w:val="en-US" w:eastAsia="zh-CN"/>
        </w:rPr>
        <w:t xml:space="preserve"> </w:t>
      </w:r>
      <w:r>
        <w:rPr>
          <w:rFonts w:hint="eastAsia" w:ascii="黑体" w:eastAsia="黑体"/>
          <w:color w:val="auto"/>
          <w:szCs w:val="21"/>
          <w:highlight w:val="none"/>
        </w:rPr>
        <w:t>swap</w:t>
      </w:r>
      <w:r>
        <w:rPr>
          <w:rFonts w:hint="eastAsia" w:ascii="黑体" w:eastAsia="黑体"/>
          <w:color w:val="auto"/>
          <w:szCs w:val="21"/>
          <w:highlight w:val="none"/>
          <w:lang w:val="en-US" w:eastAsia="zh-CN"/>
        </w:rPr>
        <w:t>-</w:t>
      </w:r>
      <w:r>
        <w:rPr>
          <w:rFonts w:hint="eastAsia" w:ascii="黑体" w:eastAsia="黑体"/>
          <w:color w:val="auto"/>
          <w:szCs w:val="21"/>
          <w:highlight w:val="none"/>
        </w:rPr>
        <w:t>pack</w:t>
      </w:r>
    </w:p>
    <w:p w14:paraId="4DD1546D">
      <w:pPr>
        <w:pStyle w:val="27"/>
        <w:rPr>
          <w:rFonts w:hint="eastAsia"/>
          <w:color w:val="auto"/>
          <w:highlight w:val="none"/>
        </w:rPr>
      </w:pPr>
      <w:r>
        <w:rPr>
          <w:rFonts w:hint="eastAsia"/>
          <w:color w:val="auto"/>
          <w:highlight w:val="none"/>
        </w:rPr>
        <w:t>可在短时间内完成拆装更换的动力电池包。</w:t>
      </w:r>
    </w:p>
    <w:p w14:paraId="72A0B695">
      <w:pPr>
        <w:pStyle w:val="56"/>
        <w:rPr>
          <w:color w:val="auto"/>
          <w:highlight w:val="none"/>
        </w:rPr>
      </w:pPr>
      <w:bookmarkStart w:id="72" w:name="_Toc22225"/>
      <w:bookmarkStart w:id="73" w:name="_Toc30824"/>
      <w:bookmarkStart w:id="74" w:name="_Toc23706"/>
      <w:bookmarkStart w:id="75" w:name="_Toc23452"/>
      <w:bookmarkStart w:id="76" w:name="_Toc28960"/>
      <w:bookmarkStart w:id="77" w:name="_Toc6149"/>
      <w:bookmarkStart w:id="78" w:name="_Toc533"/>
      <w:bookmarkStart w:id="79" w:name="_Toc10549"/>
      <w:r>
        <w:rPr>
          <w:rFonts w:hint="eastAsia"/>
          <w:color w:val="auto"/>
          <w:highlight w:val="none"/>
        </w:rPr>
        <w:t>型号</w:t>
      </w:r>
      <w:bookmarkEnd w:id="72"/>
      <w:bookmarkEnd w:id="73"/>
      <w:bookmarkEnd w:id="74"/>
      <w:bookmarkEnd w:id="75"/>
      <w:bookmarkEnd w:id="76"/>
      <w:bookmarkEnd w:id="77"/>
      <w:bookmarkEnd w:id="78"/>
      <w:bookmarkEnd w:id="79"/>
    </w:p>
    <w:p w14:paraId="4F55654E">
      <w:pPr>
        <w:pStyle w:val="27"/>
        <w:rPr>
          <w:color w:val="auto"/>
          <w:highlight w:val="none"/>
        </w:rPr>
      </w:pPr>
      <w:r>
        <w:rPr>
          <w:rFonts w:hint="eastAsia" w:hAnsi="宋体"/>
          <w:color w:val="auto"/>
          <w:szCs w:val="21"/>
          <w:highlight w:val="none"/>
          <w:lang w:val="en-US" w:eastAsia="zh-CN"/>
        </w:rPr>
        <w:t>越野摩托车</w:t>
      </w:r>
      <w:r>
        <w:rPr>
          <w:rFonts w:hint="eastAsia"/>
          <w:color w:val="auto"/>
          <w:highlight w:val="none"/>
        </w:rPr>
        <w:t>型号</w:t>
      </w:r>
      <w:r>
        <w:rPr>
          <w:rFonts w:hint="eastAsia"/>
          <w:color w:val="auto"/>
          <w:highlight w:val="none"/>
          <w:lang w:val="en-US" w:eastAsia="zh-CN"/>
        </w:rPr>
        <w:t>按照</w:t>
      </w:r>
      <w:r>
        <w:rPr>
          <w:rFonts w:hint="eastAsia"/>
          <w:color w:val="auto"/>
          <w:highlight w:val="none"/>
        </w:rPr>
        <w:t>GB/T 5375的有关规定</w:t>
      </w:r>
      <w:r>
        <w:rPr>
          <w:rFonts w:hint="eastAsia"/>
          <w:color w:val="auto"/>
          <w:highlight w:val="none"/>
          <w:lang w:val="en-US" w:eastAsia="zh-CN"/>
        </w:rPr>
        <w:t>编制</w:t>
      </w:r>
      <w:r>
        <w:rPr>
          <w:rFonts w:hint="eastAsia"/>
          <w:color w:val="auto"/>
          <w:highlight w:val="none"/>
        </w:rPr>
        <w:t>。</w:t>
      </w:r>
    </w:p>
    <w:p w14:paraId="19E714AC">
      <w:pPr>
        <w:pStyle w:val="56"/>
        <w:rPr>
          <w:color w:val="auto"/>
          <w:highlight w:val="none"/>
        </w:rPr>
      </w:pPr>
      <w:bookmarkStart w:id="80" w:name="_Toc21601"/>
      <w:bookmarkStart w:id="81" w:name="_Toc22745"/>
      <w:bookmarkStart w:id="82" w:name="_Toc19612"/>
      <w:bookmarkStart w:id="83" w:name="_Toc8707"/>
      <w:bookmarkStart w:id="84" w:name="_Toc13777"/>
      <w:bookmarkStart w:id="85" w:name="_Toc12641"/>
      <w:bookmarkStart w:id="86" w:name="_Toc12395"/>
      <w:bookmarkStart w:id="87" w:name="_Toc25295"/>
      <w:r>
        <w:rPr>
          <w:rFonts w:hint="eastAsia"/>
          <w:color w:val="auto"/>
          <w:highlight w:val="none"/>
        </w:rPr>
        <w:t>基本要求</w:t>
      </w:r>
      <w:bookmarkEnd w:id="80"/>
      <w:bookmarkEnd w:id="81"/>
      <w:bookmarkEnd w:id="82"/>
      <w:bookmarkEnd w:id="83"/>
      <w:bookmarkEnd w:id="84"/>
      <w:bookmarkEnd w:id="85"/>
      <w:bookmarkEnd w:id="86"/>
      <w:bookmarkEnd w:id="87"/>
    </w:p>
    <w:p w14:paraId="0DAFD160">
      <w:pPr>
        <w:pStyle w:val="83"/>
        <w:rPr>
          <w:color w:val="auto"/>
          <w:highlight w:val="none"/>
        </w:rPr>
      </w:pPr>
      <w:r>
        <w:rPr>
          <w:rFonts w:hint="eastAsia"/>
          <w:color w:val="auto"/>
          <w:highlight w:val="none"/>
        </w:rPr>
        <w:t>设计研发</w:t>
      </w:r>
    </w:p>
    <w:p w14:paraId="2E3896DD">
      <w:pPr>
        <w:pStyle w:val="127"/>
        <w:rPr>
          <w:color w:val="auto"/>
          <w:highlight w:val="none"/>
        </w:rPr>
      </w:pPr>
      <w:r>
        <w:rPr>
          <w:rFonts w:hint="default"/>
          <w:color w:val="auto"/>
          <w:highlight w:val="none"/>
          <w:lang w:val="en-US" w:eastAsia="zh-CN"/>
        </w:rPr>
        <w:t>应构建IATF 16949/ISO 9001质量管理体系；全面应用AIAG核心工具，包括APQP、PPAP、FMEA、MSA、SPC，覆盖全流程；严格管控供应商的APQP/PPAP，确保批产一致性。</w:t>
      </w:r>
    </w:p>
    <w:p w14:paraId="1308E9DE">
      <w:pPr>
        <w:pStyle w:val="127"/>
        <w:rPr>
          <w:color w:val="auto"/>
          <w:highlight w:val="none"/>
        </w:rPr>
      </w:pPr>
      <w:r>
        <w:rPr>
          <w:rFonts w:hint="eastAsia"/>
          <w:color w:val="auto"/>
          <w:highlight w:val="none"/>
        </w:rPr>
        <w:t>应建立产品信息数据库，</w:t>
      </w:r>
      <w:r>
        <w:rPr>
          <w:rFonts w:hint="default"/>
          <w:color w:val="auto"/>
          <w:highlight w:val="none"/>
          <w:lang w:val="en-US" w:eastAsia="zh-CN"/>
        </w:rPr>
        <w:t>拥有整车/系统级FMEA，</w:t>
      </w:r>
      <w:r>
        <w:rPr>
          <w:rFonts w:hint="eastAsia"/>
          <w:color w:val="auto"/>
          <w:highlight w:val="none"/>
        </w:rPr>
        <w:t>并且利用数据库信息</w:t>
      </w:r>
      <w:r>
        <w:rPr>
          <w:rFonts w:hint="default"/>
          <w:color w:val="auto"/>
          <w:highlight w:val="none"/>
          <w:lang w:val="en-US" w:eastAsia="zh-CN"/>
        </w:rPr>
        <w:t>和FMEA</w:t>
      </w:r>
      <w:r>
        <w:rPr>
          <w:rFonts w:hint="eastAsia"/>
          <w:color w:val="auto"/>
          <w:highlight w:val="none"/>
        </w:rPr>
        <w:t>对产品进行设计验证和优化</w:t>
      </w:r>
      <w:r>
        <w:rPr>
          <w:rFonts w:hint="default"/>
          <w:color w:val="auto"/>
          <w:highlight w:val="none"/>
          <w:lang w:eastAsia="zh-CN"/>
        </w:rPr>
        <w:t>，</w:t>
      </w:r>
      <w:r>
        <w:rPr>
          <w:rFonts w:hint="default"/>
          <w:color w:val="auto"/>
          <w:highlight w:val="none"/>
          <w:lang w:val="en-US" w:eastAsia="zh-CN"/>
        </w:rPr>
        <w:t>建立完善的设变履历系统</w:t>
      </w:r>
      <w:r>
        <w:rPr>
          <w:rFonts w:hint="eastAsia"/>
          <w:color w:val="auto"/>
          <w:highlight w:val="none"/>
        </w:rPr>
        <w:t>。</w:t>
      </w:r>
    </w:p>
    <w:p w14:paraId="58009EEC">
      <w:pPr>
        <w:pStyle w:val="127"/>
        <w:rPr>
          <w:color w:val="auto"/>
          <w:highlight w:val="none"/>
        </w:rPr>
      </w:pPr>
      <w:r>
        <w:rPr>
          <w:rFonts w:hint="eastAsia"/>
          <w:color w:val="auto"/>
          <w:highlight w:val="none"/>
        </w:rPr>
        <w:t>应</w:t>
      </w:r>
      <w:r>
        <w:rPr>
          <w:rFonts w:hint="default"/>
          <w:color w:val="auto"/>
          <w:highlight w:val="none"/>
          <w:lang w:val="en-US" w:eastAsia="zh-CN"/>
        </w:rPr>
        <w:t>具备整车零部件仿真能力，可</w:t>
      </w:r>
      <w:r>
        <w:rPr>
          <w:rFonts w:hint="eastAsia"/>
          <w:color w:val="auto"/>
          <w:highlight w:val="none"/>
        </w:rPr>
        <w:t>使用</w:t>
      </w:r>
      <w:r>
        <w:rPr>
          <w:rFonts w:hint="default"/>
          <w:color w:val="auto"/>
          <w:highlight w:val="none"/>
          <w:lang w:val="en-US" w:eastAsia="zh-CN"/>
        </w:rPr>
        <w:t>仿真</w:t>
      </w:r>
      <w:r>
        <w:rPr>
          <w:rFonts w:hint="eastAsia"/>
          <w:color w:val="auto"/>
          <w:highlight w:val="none"/>
        </w:rPr>
        <w:t>软件</w:t>
      </w:r>
      <w:r>
        <w:rPr>
          <w:rFonts w:hint="eastAsia"/>
          <w:color w:val="auto"/>
          <w:highlight w:val="none"/>
          <w:lang w:val="en-US" w:eastAsia="zh-CN"/>
        </w:rPr>
        <w:t>分析验证</w:t>
      </w:r>
      <w:r>
        <w:rPr>
          <w:rFonts w:hint="eastAsia"/>
          <w:color w:val="auto"/>
          <w:highlight w:val="none"/>
        </w:rPr>
        <w:t>产品结构强度、产品性能。</w:t>
      </w:r>
    </w:p>
    <w:p w14:paraId="5388C2A3">
      <w:pPr>
        <w:pStyle w:val="127"/>
        <w:rPr>
          <w:color w:val="auto"/>
          <w:highlight w:val="none"/>
        </w:rPr>
      </w:pPr>
      <w:r>
        <w:rPr>
          <w:rFonts w:hint="eastAsia"/>
          <w:color w:val="auto"/>
          <w:highlight w:val="none"/>
        </w:rPr>
        <w:t>应具有产品概念设计、油泥模型制作、快速成型样件制作和模型车制作及调试能力。</w:t>
      </w:r>
    </w:p>
    <w:p w14:paraId="13CA7861">
      <w:pPr>
        <w:pStyle w:val="83"/>
        <w:rPr>
          <w:color w:val="auto"/>
          <w:highlight w:val="none"/>
        </w:rPr>
      </w:pPr>
      <w:r>
        <w:rPr>
          <w:rFonts w:hint="eastAsia"/>
          <w:color w:val="auto"/>
          <w:highlight w:val="none"/>
        </w:rPr>
        <w:t>原材料</w:t>
      </w:r>
    </w:p>
    <w:p w14:paraId="0B20A6AF">
      <w:pPr>
        <w:pStyle w:val="27"/>
      </w:pPr>
      <w:r>
        <w:rPr>
          <w:rFonts w:hint="eastAsia"/>
          <w:color w:val="auto"/>
          <w:highlight w:val="none"/>
        </w:rPr>
        <w:t>所选材料需环保、可回收，其关键零部件材料应符合GB/T 26572标准要求。</w:t>
      </w:r>
    </w:p>
    <w:p w14:paraId="7EA73161">
      <w:pPr>
        <w:pStyle w:val="83"/>
        <w:rPr>
          <w:color w:val="auto"/>
          <w:highlight w:val="none"/>
        </w:rPr>
      </w:pPr>
      <w:r>
        <w:rPr>
          <w:rFonts w:hint="eastAsia"/>
          <w:color w:val="auto"/>
          <w:highlight w:val="none"/>
        </w:rPr>
        <w:t>工艺与装备</w:t>
      </w:r>
    </w:p>
    <w:p w14:paraId="7BF22742">
      <w:pPr>
        <w:pStyle w:val="127"/>
        <w:rPr>
          <w:color w:val="auto"/>
          <w:highlight w:val="none"/>
        </w:rPr>
      </w:pPr>
      <w:r>
        <w:rPr>
          <w:rFonts w:hint="eastAsia"/>
          <w:color w:val="auto"/>
          <w:highlight w:val="none"/>
        </w:rPr>
        <w:t>应具有冲压成型设备、冲压模具和工装、模具维修及研配设备、冲压件质量控制设备或专用检具，以及必要的模具吊装、转运设备。</w:t>
      </w:r>
    </w:p>
    <w:p w14:paraId="13D900A5">
      <w:pPr>
        <w:pStyle w:val="127"/>
        <w:rPr>
          <w:color w:val="auto"/>
          <w:highlight w:val="none"/>
        </w:rPr>
      </w:pPr>
      <w:r>
        <w:rPr>
          <w:rFonts w:hint="eastAsia"/>
          <w:color w:val="auto"/>
          <w:highlight w:val="none"/>
        </w:rPr>
        <w:t>应具有自动化的车架焊接、涂装、整车流水线、以及相应的模具和工装。</w:t>
      </w:r>
    </w:p>
    <w:p w14:paraId="06FA828D">
      <w:pPr>
        <w:pStyle w:val="83"/>
        <w:rPr>
          <w:color w:val="auto"/>
          <w:highlight w:val="none"/>
        </w:rPr>
      </w:pPr>
      <w:r>
        <w:rPr>
          <w:rFonts w:hint="eastAsia"/>
          <w:color w:val="auto"/>
          <w:highlight w:val="none"/>
        </w:rPr>
        <w:t>检验检测</w:t>
      </w:r>
    </w:p>
    <w:p w14:paraId="66A21A0D">
      <w:pPr>
        <w:pStyle w:val="127"/>
        <w:rPr>
          <w:rFonts w:hint="eastAsia"/>
          <w:color w:val="auto"/>
          <w:highlight w:val="none"/>
        </w:rPr>
      </w:pPr>
      <w:r>
        <w:rPr>
          <w:rFonts w:hint="eastAsia"/>
          <w:color w:val="auto"/>
          <w:highlight w:val="none"/>
        </w:rPr>
        <w:t>企业应具备与本标准及其规范性引用文件相匹配的试验能力，包括但不限于动力总成、车架</w:t>
      </w:r>
      <w:r>
        <w:rPr>
          <w:rFonts w:hint="eastAsia"/>
          <w:color w:val="auto"/>
          <w:highlight w:val="none"/>
          <w:lang w:eastAsia="zh-CN"/>
        </w:rPr>
        <w:t>、</w:t>
      </w:r>
      <w:r>
        <w:rPr>
          <w:rFonts w:hint="eastAsia"/>
          <w:color w:val="auto"/>
          <w:highlight w:val="none"/>
        </w:rPr>
        <w:t>悬架等部件台架试验，以及整车动力性能、可靠性和越野工况验证能力。不涉及道路机动车公告/3C 相关的检测能力。</w:t>
      </w:r>
    </w:p>
    <w:p w14:paraId="4574D393">
      <w:pPr>
        <w:pStyle w:val="127"/>
        <w:rPr>
          <w:color w:val="auto"/>
          <w:highlight w:val="none"/>
        </w:rPr>
      </w:pPr>
      <w:r>
        <w:rPr>
          <w:color w:val="auto"/>
          <w:highlight w:val="none"/>
        </w:rPr>
        <w:t>台架试验能力：动力总成、</w:t>
      </w:r>
      <w:r>
        <w:rPr>
          <w:rFonts w:hint="eastAsia"/>
          <w:color w:val="auto"/>
          <w:highlight w:val="none"/>
          <w:lang w:val="en-US" w:eastAsia="zh-CN"/>
        </w:rPr>
        <w:t>车架、减震等关键零部件</w:t>
      </w:r>
      <w:r>
        <w:rPr>
          <w:color w:val="auto"/>
          <w:highlight w:val="none"/>
        </w:rPr>
        <w:t>需有耐久、性能和极限工况的台架测试。</w:t>
      </w:r>
    </w:p>
    <w:p w14:paraId="3100F5AB">
      <w:pPr>
        <w:pStyle w:val="127"/>
        <w:rPr>
          <w:color w:val="auto"/>
          <w:highlight w:val="none"/>
        </w:rPr>
      </w:pPr>
      <w:r>
        <w:rPr>
          <w:color w:val="auto"/>
          <w:highlight w:val="none"/>
        </w:rPr>
        <w:t>整车越野试验：具备恶劣工况（沙地、泥地、涉水、冲击、高低温）的测试与验证场地。</w:t>
      </w:r>
    </w:p>
    <w:p w14:paraId="73CE4FDE">
      <w:pPr>
        <w:pStyle w:val="56"/>
        <w:rPr>
          <w:color w:val="auto"/>
          <w:highlight w:val="none"/>
        </w:rPr>
      </w:pPr>
      <w:bookmarkStart w:id="88" w:name="_Toc32389"/>
      <w:bookmarkStart w:id="89" w:name="_Toc30867"/>
      <w:bookmarkStart w:id="90" w:name="_Toc25266"/>
      <w:bookmarkStart w:id="91" w:name="_Toc31939"/>
      <w:bookmarkStart w:id="92" w:name="_Toc7197"/>
      <w:bookmarkStart w:id="93" w:name="_Toc25867"/>
      <w:bookmarkStart w:id="94" w:name="_Toc5035"/>
      <w:bookmarkStart w:id="95" w:name="_Toc30313"/>
      <w:r>
        <w:rPr>
          <w:rFonts w:hint="eastAsia"/>
          <w:color w:val="auto"/>
          <w:highlight w:val="none"/>
        </w:rPr>
        <w:t>技术要求</w:t>
      </w:r>
      <w:bookmarkEnd w:id="88"/>
      <w:bookmarkEnd w:id="89"/>
      <w:bookmarkEnd w:id="90"/>
      <w:bookmarkEnd w:id="91"/>
      <w:bookmarkEnd w:id="92"/>
      <w:bookmarkEnd w:id="93"/>
      <w:bookmarkEnd w:id="94"/>
      <w:bookmarkEnd w:id="95"/>
    </w:p>
    <w:p w14:paraId="2F3F0C1E">
      <w:pPr>
        <w:pStyle w:val="83"/>
        <w:rPr>
          <w:color w:val="auto"/>
          <w:highlight w:val="none"/>
        </w:rPr>
      </w:pPr>
      <w:r>
        <w:rPr>
          <w:rFonts w:hint="eastAsia"/>
          <w:color w:val="auto"/>
          <w:highlight w:val="none"/>
        </w:rPr>
        <w:t>车辆识别代号(VIN)</w:t>
      </w:r>
    </w:p>
    <w:p w14:paraId="730994A3">
      <w:pPr>
        <w:pStyle w:val="27"/>
        <w:rPr>
          <w:color w:val="auto"/>
          <w:highlight w:val="none"/>
        </w:rPr>
      </w:pPr>
      <w:r>
        <w:rPr>
          <w:rFonts w:hint="eastAsia"/>
          <w:color w:val="auto"/>
          <w:highlight w:val="none"/>
        </w:rPr>
        <w:t>车辆识别代号(VIN)内容构成及代号打刻应符合GB 16735的规定。</w:t>
      </w:r>
    </w:p>
    <w:p w14:paraId="44743C5D">
      <w:pPr>
        <w:pStyle w:val="83"/>
        <w:rPr>
          <w:color w:val="auto"/>
          <w:highlight w:val="none"/>
        </w:rPr>
      </w:pPr>
      <w:r>
        <w:rPr>
          <w:rFonts w:hint="eastAsia"/>
          <w:color w:val="auto"/>
          <w:highlight w:val="none"/>
        </w:rPr>
        <w:t>车辆</w:t>
      </w:r>
      <w:r>
        <w:rPr>
          <w:rFonts w:hint="eastAsia"/>
          <w:color w:val="auto"/>
          <w:highlight w:val="none"/>
          <w:lang w:val="en-US" w:eastAsia="zh-CN"/>
        </w:rPr>
        <w:t>铭牌</w:t>
      </w:r>
    </w:p>
    <w:p w14:paraId="583B034A">
      <w:pPr>
        <w:pStyle w:val="27"/>
        <w:ind w:left="210"/>
        <w:rPr>
          <w:rFonts w:hint="eastAsia"/>
          <w:color w:val="auto"/>
          <w:highlight w:val="none"/>
        </w:rPr>
      </w:pPr>
      <w:r>
        <w:rPr>
          <w:rFonts w:hint="eastAsia"/>
          <w:color w:val="auto"/>
          <w:highlight w:val="none"/>
        </w:rPr>
        <w:t>铭牌至少包含：商标、型号、制造日期、制造厂名称、制造国、电机最大输出功率、整备质量、电压平台、IP 等级。在明显位置加贴</w:t>
      </w:r>
      <w:r>
        <w:rPr>
          <w:rFonts w:hint="eastAsia"/>
          <w:color w:val="auto"/>
          <w:highlight w:val="none"/>
          <w:lang w:val="en-US" w:eastAsia="zh-CN"/>
        </w:rPr>
        <w:t>以下</w:t>
      </w:r>
      <w:r>
        <w:rPr>
          <w:rFonts w:hint="eastAsia"/>
          <w:color w:val="auto"/>
          <w:highlight w:val="none"/>
        </w:rPr>
        <w:t>警示标签：</w:t>
      </w:r>
    </w:p>
    <w:p w14:paraId="721BEFA2">
      <w:pPr>
        <w:pStyle w:val="83"/>
        <w:numPr>
          <w:ilvl w:val="-1"/>
          <w:numId w:val="0"/>
        </w:numPr>
        <w:rPr>
          <w:rFonts w:ascii="宋体" w:eastAsia="宋体"/>
          <w:color w:val="auto"/>
          <w:highlight w:val="none"/>
        </w:rPr>
      </w:pPr>
      <w:r>
        <w:rPr>
          <w:rFonts w:hint="default" w:ascii="宋体" w:eastAsia="宋体"/>
          <w:color w:val="auto"/>
          <w:highlight w:val="none"/>
        </w:rPr>
        <w:t>“本车型仅限封闭场地或非公共道路使用，禁止上道路行驶。”</w:t>
      </w:r>
    </w:p>
    <w:p w14:paraId="0AB05CA9">
      <w:pPr>
        <w:pStyle w:val="83"/>
        <w:rPr>
          <w:color w:val="auto"/>
          <w:highlight w:val="none"/>
        </w:rPr>
      </w:pPr>
      <w:r>
        <w:rPr>
          <w:rFonts w:hint="eastAsia"/>
          <w:color w:val="auto"/>
          <w:highlight w:val="none"/>
        </w:rPr>
        <w:t>外廓尺寸</w:t>
      </w:r>
    </w:p>
    <w:p w14:paraId="233176C1">
      <w:pPr>
        <w:pStyle w:val="27"/>
        <w:rPr>
          <w:color w:val="auto"/>
          <w:highlight w:val="none"/>
        </w:rPr>
      </w:pPr>
      <w:r>
        <w:rPr>
          <w:rFonts w:hint="eastAsia"/>
          <w:color w:val="auto"/>
          <w:highlight w:val="none"/>
          <w:lang w:val="en-US" w:eastAsia="zh-CN"/>
        </w:rPr>
        <w:t>越野摩托车</w:t>
      </w:r>
      <w:r>
        <w:rPr>
          <w:rFonts w:hint="eastAsia"/>
          <w:color w:val="auto"/>
          <w:highlight w:val="none"/>
        </w:rPr>
        <w:t>的</w:t>
      </w:r>
      <w:r>
        <w:rPr>
          <w:color w:val="auto"/>
          <w:highlight w:val="none"/>
        </w:rPr>
        <w:t>外廓尺寸应符合</w:t>
      </w:r>
      <w:r>
        <w:rPr>
          <w:rFonts w:hint="eastAsia"/>
          <w:color w:val="auto"/>
          <w:highlight w:val="none"/>
          <w:lang w:val="en-US" w:eastAsia="zh-CN"/>
        </w:rPr>
        <w:t>表1</w:t>
      </w:r>
      <w:r>
        <w:rPr>
          <w:color w:val="auto"/>
          <w:highlight w:val="none"/>
        </w:rPr>
        <w:t>规定。</w:t>
      </w:r>
    </w:p>
    <w:p w14:paraId="1036FD0E">
      <w:pPr>
        <w:pStyle w:val="107"/>
        <w:rPr>
          <w:color w:val="auto"/>
          <w:highlight w:val="none"/>
        </w:rPr>
      </w:pPr>
      <w:r>
        <w:rPr>
          <w:rFonts w:hint="eastAsia"/>
          <w:color w:val="auto"/>
          <w:highlight w:val="none"/>
          <w:lang w:val="en-US" w:eastAsia="zh-CN"/>
        </w:rPr>
        <w:t>越野摩托车</w:t>
      </w:r>
      <w:r>
        <w:rPr>
          <w:rFonts w:hint="eastAsia"/>
          <w:color w:val="auto"/>
          <w:highlight w:val="none"/>
        </w:rPr>
        <w:t>外廓尺寸限制</w:t>
      </w:r>
    </w:p>
    <w:p w14:paraId="6CFD3AB3">
      <w:pPr>
        <w:pStyle w:val="27"/>
        <w:jc w:val="right"/>
        <w:rPr>
          <w:color w:val="auto"/>
          <w:highlight w:val="none"/>
        </w:rPr>
      </w:pPr>
      <w:r>
        <w:rPr>
          <w:rFonts w:hint="eastAsia"/>
          <w:color w:val="auto"/>
          <w:highlight w:val="none"/>
        </w:rPr>
        <w:t>单位为米</w:t>
      </w:r>
    </w:p>
    <w:tbl>
      <w:tblPr>
        <w:tblStyle w:val="3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914"/>
        <w:gridCol w:w="1914"/>
        <w:gridCol w:w="1915"/>
      </w:tblGrid>
      <w:tr w14:paraId="20F29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28" w:type="dxa"/>
            <w:tcBorders>
              <w:bottom w:val="single" w:color="auto" w:sz="8" w:space="0"/>
              <w:tl2br w:val="nil"/>
              <w:tr2bl w:val="nil"/>
            </w:tcBorders>
            <w:vAlign w:val="center"/>
          </w:tcPr>
          <w:p w14:paraId="4FC5EBB1">
            <w:pPr>
              <w:widowControl/>
              <w:jc w:val="center"/>
              <w:textAlignment w:val="center"/>
              <w:rPr>
                <w:rFonts w:ascii="宋体" w:hAnsi="宋体" w:cs="宋体"/>
                <w:color w:val="auto"/>
                <w:sz w:val="18"/>
                <w:szCs w:val="18"/>
                <w:highlight w:val="none"/>
              </w:rPr>
            </w:pPr>
            <w:r>
              <w:rPr>
                <w:rStyle w:val="150"/>
                <w:rFonts w:hint="eastAsia"/>
                <w:b w:val="0"/>
                <w:bCs w:val="0"/>
                <w:color w:val="auto"/>
                <w:sz w:val="18"/>
                <w:szCs w:val="18"/>
                <w:highlight w:val="none"/>
                <w:lang w:bidi="ar"/>
              </w:rPr>
              <w:t>类型</w:t>
            </w:r>
          </w:p>
        </w:tc>
        <w:tc>
          <w:tcPr>
            <w:tcW w:w="1914" w:type="dxa"/>
            <w:tcBorders>
              <w:bottom w:val="single" w:color="auto" w:sz="8" w:space="0"/>
              <w:tl2br w:val="nil"/>
              <w:tr2bl w:val="nil"/>
            </w:tcBorders>
            <w:vAlign w:val="center"/>
          </w:tcPr>
          <w:p w14:paraId="4959E7F0">
            <w:pPr>
              <w:widowControl/>
              <w:jc w:val="center"/>
              <w:textAlignment w:val="center"/>
              <w:rPr>
                <w:rFonts w:ascii="宋体" w:hAnsi="宋体" w:cs="宋体"/>
                <w:color w:val="auto"/>
                <w:sz w:val="18"/>
                <w:szCs w:val="18"/>
                <w:highlight w:val="none"/>
              </w:rPr>
            </w:pPr>
            <w:r>
              <w:rPr>
                <w:rStyle w:val="150"/>
                <w:rFonts w:hint="eastAsia"/>
                <w:b w:val="0"/>
                <w:bCs w:val="0"/>
                <w:color w:val="auto"/>
                <w:sz w:val="18"/>
                <w:szCs w:val="18"/>
                <w:highlight w:val="none"/>
                <w:lang w:bidi="ar"/>
              </w:rPr>
              <w:t>长</w:t>
            </w:r>
          </w:p>
        </w:tc>
        <w:tc>
          <w:tcPr>
            <w:tcW w:w="1914" w:type="dxa"/>
            <w:tcBorders>
              <w:bottom w:val="single" w:color="auto" w:sz="8" w:space="0"/>
              <w:tl2br w:val="nil"/>
              <w:tr2bl w:val="nil"/>
            </w:tcBorders>
            <w:vAlign w:val="center"/>
          </w:tcPr>
          <w:p w14:paraId="4B844444">
            <w:pPr>
              <w:widowControl/>
              <w:jc w:val="center"/>
              <w:textAlignment w:val="center"/>
              <w:rPr>
                <w:rFonts w:ascii="宋体" w:hAnsi="宋体" w:cs="宋体"/>
                <w:color w:val="auto"/>
                <w:sz w:val="18"/>
                <w:szCs w:val="18"/>
                <w:highlight w:val="none"/>
              </w:rPr>
            </w:pPr>
            <w:r>
              <w:rPr>
                <w:rStyle w:val="150"/>
                <w:rFonts w:hint="eastAsia"/>
                <w:b w:val="0"/>
                <w:bCs w:val="0"/>
                <w:color w:val="auto"/>
                <w:sz w:val="18"/>
                <w:szCs w:val="18"/>
                <w:highlight w:val="none"/>
                <w:lang w:bidi="ar"/>
              </w:rPr>
              <w:t>宽</w:t>
            </w:r>
          </w:p>
        </w:tc>
        <w:tc>
          <w:tcPr>
            <w:tcW w:w="1915" w:type="dxa"/>
            <w:tcBorders>
              <w:bottom w:val="single" w:color="auto" w:sz="8" w:space="0"/>
              <w:tl2br w:val="nil"/>
              <w:tr2bl w:val="nil"/>
            </w:tcBorders>
            <w:vAlign w:val="center"/>
          </w:tcPr>
          <w:p w14:paraId="6C9E906E">
            <w:pPr>
              <w:widowControl/>
              <w:jc w:val="center"/>
              <w:textAlignment w:val="center"/>
              <w:rPr>
                <w:rFonts w:ascii="宋体" w:hAnsi="宋体" w:cs="宋体"/>
                <w:color w:val="auto"/>
                <w:sz w:val="18"/>
                <w:szCs w:val="18"/>
                <w:highlight w:val="none"/>
              </w:rPr>
            </w:pPr>
            <w:r>
              <w:rPr>
                <w:rStyle w:val="150"/>
                <w:rFonts w:hint="eastAsia"/>
                <w:b w:val="0"/>
                <w:bCs w:val="0"/>
                <w:color w:val="auto"/>
                <w:sz w:val="18"/>
                <w:szCs w:val="18"/>
                <w:highlight w:val="none"/>
                <w:lang w:bidi="ar"/>
              </w:rPr>
              <w:t>高</w:t>
            </w:r>
          </w:p>
        </w:tc>
      </w:tr>
      <w:tr w14:paraId="64EBF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28" w:type="dxa"/>
            <w:tcBorders>
              <w:top w:val="single" w:color="auto" w:sz="8" w:space="0"/>
              <w:tl2br w:val="nil"/>
              <w:tr2bl w:val="nil"/>
            </w:tcBorders>
            <w:vAlign w:val="center"/>
          </w:tcPr>
          <w:p w14:paraId="212A0216">
            <w:pPr>
              <w:widowControl/>
              <w:jc w:val="center"/>
              <w:textAlignment w:val="center"/>
              <w:rPr>
                <w:rFonts w:ascii="宋体" w:hAnsi="宋体" w:cs="宋体"/>
                <w:color w:val="auto"/>
                <w:sz w:val="18"/>
                <w:szCs w:val="18"/>
                <w:highlight w:val="none"/>
              </w:rPr>
            </w:pPr>
            <w:r>
              <w:rPr>
                <w:rStyle w:val="151"/>
                <w:rFonts w:hint="eastAsia"/>
                <w:color w:val="auto"/>
                <w:sz w:val="18"/>
                <w:szCs w:val="18"/>
                <w:highlight w:val="none"/>
                <w:lang w:val="en-US" w:eastAsia="zh-CN" w:bidi="ar"/>
              </w:rPr>
              <w:t>越野摩托车</w:t>
            </w:r>
          </w:p>
        </w:tc>
        <w:tc>
          <w:tcPr>
            <w:tcW w:w="1914" w:type="dxa"/>
            <w:tcBorders>
              <w:top w:val="single" w:color="auto" w:sz="8" w:space="0"/>
              <w:tl2br w:val="nil"/>
              <w:tr2bl w:val="nil"/>
            </w:tcBorders>
            <w:vAlign w:val="center"/>
          </w:tcPr>
          <w:p w14:paraId="4DDF9A16">
            <w:pPr>
              <w:widowControl/>
              <w:jc w:val="center"/>
              <w:textAlignment w:val="center"/>
              <w:rPr>
                <w:rFonts w:ascii="宋体" w:hAnsi="宋体" w:cs="宋体"/>
                <w:color w:val="auto"/>
                <w:sz w:val="18"/>
                <w:szCs w:val="18"/>
                <w:highlight w:val="none"/>
              </w:rPr>
            </w:pPr>
            <w:r>
              <w:rPr>
                <w:rStyle w:val="151"/>
                <w:rFonts w:hint="eastAsia"/>
                <w:color w:val="auto"/>
                <w:sz w:val="18"/>
                <w:szCs w:val="18"/>
                <w:highlight w:val="none"/>
                <w:lang w:bidi="ar"/>
              </w:rPr>
              <w:t>≤2.50</w:t>
            </w:r>
          </w:p>
        </w:tc>
        <w:tc>
          <w:tcPr>
            <w:tcW w:w="1914" w:type="dxa"/>
            <w:tcBorders>
              <w:top w:val="single" w:color="auto" w:sz="8" w:space="0"/>
              <w:tl2br w:val="nil"/>
              <w:tr2bl w:val="nil"/>
            </w:tcBorders>
            <w:vAlign w:val="center"/>
          </w:tcPr>
          <w:p w14:paraId="25FB30DB">
            <w:pPr>
              <w:widowControl/>
              <w:jc w:val="center"/>
              <w:textAlignment w:val="center"/>
              <w:rPr>
                <w:rFonts w:ascii="宋体" w:hAnsi="宋体" w:cs="宋体"/>
                <w:color w:val="auto"/>
                <w:sz w:val="18"/>
                <w:szCs w:val="18"/>
                <w:highlight w:val="none"/>
              </w:rPr>
            </w:pPr>
            <w:r>
              <w:rPr>
                <w:rStyle w:val="151"/>
                <w:rFonts w:hint="eastAsia"/>
                <w:color w:val="auto"/>
                <w:sz w:val="18"/>
                <w:szCs w:val="18"/>
                <w:highlight w:val="none"/>
                <w:lang w:bidi="ar"/>
              </w:rPr>
              <w:t>≤1.00</w:t>
            </w:r>
          </w:p>
        </w:tc>
        <w:tc>
          <w:tcPr>
            <w:tcW w:w="1915" w:type="dxa"/>
            <w:tcBorders>
              <w:top w:val="single" w:color="auto" w:sz="8" w:space="0"/>
              <w:tl2br w:val="nil"/>
              <w:tr2bl w:val="nil"/>
            </w:tcBorders>
            <w:vAlign w:val="center"/>
          </w:tcPr>
          <w:p w14:paraId="6E91CB6F">
            <w:pPr>
              <w:widowControl/>
              <w:jc w:val="center"/>
              <w:textAlignment w:val="center"/>
              <w:rPr>
                <w:rFonts w:ascii="宋体" w:hAnsi="宋体" w:cs="宋体"/>
                <w:color w:val="auto"/>
                <w:sz w:val="18"/>
                <w:szCs w:val="18"/>
                <w:highlight w:val="none"/>
              </w:rPr>
            </w:pPr>
            <w:r>
              <w:rPr>
                <w:rStyle w:val="151"/>
                <w:rFonts w:hint="eastAsia"/>
                <w:color w:val="auto"/>
                <w:sz w:val="18"/>
                <w:szCs w:val="18"/>
                <w:highlight w:val="none"/>
                <w:lang w:bidi="ar"/>
              </w:rPr>
              <w:t>≤1.40</w:t>
            </w:r>
          </w:p>
        </w:tc>
      </w:tr>
    </w:tbl>
    <w:p w14:paraId="70455EB9">
      <w:pPr>
        <w:pStyle w:val="83"/>
        <w:tabs>
          <w:tab w:val="center" w:pos="4201"/>
          <w:tab w:val="right" w:leader="dot" w:pos="9298"/>
        </w:tabs>
        <w:rPr>
          <w:rFonts w:hint="eastAsia"/>
          <w:lang w:val="en-US" w:eastAsia="zh-CN"/>
        </w:rPr>
      </w:pPr>
      <w:r>
        <w:rPr>
          <w:rFonts w:hint="eastAsia"/>
          <w:lang w:val="en-US" w:eastAsia="zh-CN"/>
        </w:rPr>
        <w:t>质量参数</w:t>
      </w:r>
    </w:p>
    <w:p w14:paraId="777EC882">
      <w:pPr>
        <w:pStyle w:val="27"/>
        <w:ind w:left="210"/>
        <w:rPr>
          <w:rFonts w:hint="eastAsia"/>
          <w:color w:val="auto"/>
          <w:highlight w:val="none"/>
        </w:rPr>
      </w:pPr>
      <w:r>
        <w:rPr>
          <w:rFonts w:hint="eastAsia"/>
          <w:color w:val="auto"/>
          <w:highlight w:val="none"/>
          <w:lang w:val="en-US" w:eastAsia="zh-CN"/>
        </w:rPr>
        <w:t>越野</w:t>
      </w:r>
      <w:r>
        <w:rPr>
          <w:rFonts w:hint="eastAsia"/>
          <w:color w:val="auto"/>
          <w:highlight w:val="none"/>
          <w:lang w:eastAsia="zh-CN"/>
        </w:rPr>
        <w:t>摩托车</w:t>
      </w:r>
      <w:r>
        <w:rPr>
          <w:rFonts w:hint="eastAsia"/>
          <w:color w:val="auto"/>
          <w:highlight w:val="none"/>
        </w:rPr>
        <w:t>在空载和满载状态下，转向轴轴荷（或转向轮轮荷）分别与该车整备质量和总质量的比值应大于等于30</w:t>
      </w:r>
      <w:r>
        <w:rPr>
          <w:rFonts w:hint="eastAsia"/>
          <w:color w:val="auto"/>
          <w:highlight w:val="none"/>
          <w:lang w:val="en-US" w:eastAsia="zh-CN"/>
        </w:rPr>
        <w:t>%。</w:t>
      </w:r>
    </w:p>
    <w:p w14:paraId="65F235FE">
      <w:pPr>
        <w:pStyle w:val="83"/>
      </w:pPr>
      <w:r>
        <w:rPr>
          <w:rFonts w:hint="eastAsia"/>
          <w:color w:val="auto"/>
          <w:highlight w:val="none"/>
        </w:rPr>
        <w:t>紧急断电装置</w:t>
      </w:r>
    </w:p>
    <w:p w14:paraId="2C423631">
      <w:pPr>
        <w:pStyle w:val="127"/>
        <w:rPr>
          <w:rFonts w:hint="eastAsia"/>
          <w:color w:val="auto"/>
          <w:highlight w:val="none"/>
        </w:rPr>
      </w:pPr>
      <w:r>
        <w:rPr>
          <w:rFonts w:hint="eastAsia"/>
          <w:color w:val="auto"/>
          <w:highlight w:val="none"/>
          <w:lang w:eastAsia="zh-CN"/>
        </w:rPr>
        <w:t>越野摩托车</w:t>
      </w:r>
      <w:r>
        <w:rPr>
          <w:rFonts w:hint="eastAsia"/>
          <w:color w:val="auto"/>
          <w:highlight w:val="none"/>
        </w:rPr>
        <w:t>必须在右把手端设置一个紧急断电</w:t>
      </w:r>
      <w:r>
        <w:rPr>
          <w:rFonts w:hint="eastAsia"/>
          <w:color w:val="auto"/>
          <w:highlight w:val="none"/>
          <w:lang w:val="en-US" w:eastAsia="zh-CN"/>
        </w:rPr>
        <w:t>装置</w:t>
      </w:r>
      <w:r>
        <w:rPr>
          <w:rFonts w:hint="eastAsia"/>
          <w:color w:val="auto"/>
          <w:highlight w:val="none"/>
        </w:rPr>
        <w:t>，用于在发生碰撞、倾覆、进水或其他危险情况下迅速切断高压系统电源，确保骑乘人员与救援人员安全。</w:t>
      </w:r>
    </w:p>
    <w:p w14:paraId="04CEED7F">
      <w:pPr>
        <w:pStyle w:val="127"/>
        <w:bidi w:val="0"/>
        <w:ind w:left="0" w:leftChars="0" w:firstLineChars="0"/>
        <w:rPr>
          <w:rFonts w:hint="eastAsia"/>
          <w:color w:val="auto"/>
          <w:highlight w:val="none"/>
          <w:lang w:val="en-US" w:eastAsia="zh-CN"/>
        </w:rPr>
      </w:pPr>
      <w:r>
        <w:rPr>
          <w:rFonts w:hint="eastAsia"/>
          <w:color w:val="auto"/>
          <w:highlight w:val="none"/>
          <w:lang w:val="en-US" w:eastAsia="zh-CN"/>
        </w:rPr>
        <w:t>装置防护等级不低于 IP67，适应越野环境。</w:t>
      </w:r>
    </w:p>
    <w:p w14:paraId="37F477A5">
      <w:pPr>
        <w:pStyle w:val="127"/>
        <w:bidi w:val="0"/>
        <w:ind w:left="0" w:leftChars="0" w:firstLineChars="0"/>
        <w:rPr>
          <w:rFonts w:hint="eastAsia"/>
          <w:color w:val="auto"/>
          <w:highlight w:val="none"/>
        </w:rPr>
      </w:pPr>
      <w:r>
        <w:rPr>
          <w:rFonts w:hint="eastAsia"/>
          <w:color w:val="auto"/>
          <w:highlight w:val="none"/>
          <w:lang w:val="en-US" w:eastAsia="zh-CN"/>
        </w:rPr>
        <w:t>紧急断电操作应简便，无需复杂动作即可触发。</w:t>
      </w:r>
    </w:p>
    <w:p w14:paraId="7A2134D4">
      <w:pPr>
        <w:pStyle w:val="83"/>
        <w:rPr>
          <w:color w:val="auto"/>
          <w:highlight w:val="none"/>
        </w:rPr>
      </w:pPr>
      <w:r>
        <w:rPr>
          <w:rFonts w:hint="eastAsia"/>
          <w:color w:val="auto"/>
          <w:highlight w:val="none"/>
        </w:rPr>
        <w:t>特殊安全</w:t>
      </w:r>
    </w:p>
    <w:p w14:paraId="66F4A89E">
      <w:pPr>
        <w:pStyle w:val="127"/>
        <w:rPr>
          <w:rFonts w:hint="eastAsia"/>
          <w:color w:val="auto"/>
          <w:highlight w:val="none"/>
        </w:rPr>
      </w:pPr>
      <w:r>
        <w:rPr>
          <w:rFonts w:hint="eastAsia"/>
          <w:color w:val="auto"/>
          <w:highlight w:val="none"/>
          <w:lang w:eastAsia="zh-CN"/>
        </w:rPr>
        <w:t>越野摩托车</w:t>
      </w:r>
      <w:r>
        <w:rPr>
          <w:color w:val="auto"/>
          <w:highlight w:val="none"/>
        </w:rPr>
        <w:t>特殊安全要求应符合GB 24155的相关规定</w:t>
      </w:r>
      <w:r>
        <w:rPr>
          <w:rFonts w:hint="eastAsia"/>
          <w:color w:val="auto"/>
          <w:highlight w:val="none"/>
        </w:rPr>
        <w:t>。</w:t>
      </w:r>
    </w:p>
    <w:p w14:paraId="04E579B6">
      <w:pPr>
        <w:pStyle w:val="127"/>
        <w:rPr>
          <w:rFonts w:hint="eastAsia"/>
          <w:color w:val="auto"/>
          <w:highlight w:val="none"/>
        </w:rPr>
      </w:pPr>
      <w:r>
        <w:rPr>
          <w:rFonts w:hint="eastAsia"/>
          <w:color w:val="auto"/>
          <w:highlight w:val="none"/>
        </w:rPr>
        <w:t>前链（带）传动须加装链罩；车把端部必须使用端塞或软质保护件；不得有尖锐凸出物</w:t>
      </w:r>
      <w:r>
        <w:rPr>
          <w:rFonts w:hint="eastAsia"/>
          <w:color w:val="auto"/>
          <w:highlight w:val="none"/>
          <w:lang w:eastAsia="zh-CN"/>
        </w:rPr>
        <w:t>。</w:t>
      </w:r>
    </w:p>
    <w:p w14:paraId="52F59C20">
      <w:pPr>
        <w:pStyle w:val="83"/>
        <w:rPr>
          <w:color w:val="auto"/>
          <w:highlight w:val="none"/>
        </w:rPr>
      </w:pPr>
      <w:r>
        <w:rPr>
          <w:rFonts w:hint="eastAsia"/>
          <w:color w:val="auto"/>
          <w:highlight w:val="none"/>
        </w:rPr>
        <w:t>转向装置</w:t>
      </w:r>
    </w:p>
    <w:p w14:paraId="33735297">
      <w:pPr>
        <w:pStyle w:val="127"/>
        <w:rPr>
          <w:color w:val="auto"/>
          <w:highlight w:val="none"/>
        </w:rPr>
      </w:pPr>
      <w:r>
        <w:rPr>
          <w:rFonts w:hint="eastAsia"/>
          <w:color w:val="auto"/>
          <w:highlight w:val="none"/>
          <w:lang w:eastAsia="zh-CN"/>
        </w:rPr>
        <w:t>越野摩托车</w:t>
      </w:r>
      <w:r>
        <w:rPr>
          <w:color w:val="auto"/>
          <w:highlight w:val="none"/>
        </w:rPr>
        <w:t>的方向(或方向把)应转动活,无卡滞现象。机动车应设置转向限位装置。转向系统在任何操作位置上，不应与其他部件有干涉现象。</w:t>
      </w:r>
    </w:p>
    <w:p w14:paraId="6A3431F6">
      <w:pPr>
        <w:pStyle w:val="127"/>
        <w:rPr>
          <w:rFonts w:hAnsi="宋体" w:cs="宋体"/>
          <w:color w:val="auto"/>
          <w:highlight w:val="none"/>
        </w:rPr>
      </w:pPr>
      <w:r>
        <w:rPr>
          <w:rFonts w:hint="eastAsia"/>
          <w:color w:val="auto"/>
          <w:highlight w:val="none"/>
          <w:lang w:eastAsia="zh-CN"/>
        </w:rPr>
        <w:t>越野摩托车</w:t>
      </w:r>
      <w:r>
        <w:rPr>
          <w:rFonts w:hint="eastAsia" w:hAnsi="宋体" w:cs="宋体"/>
          <w:color w:val="auto"/>
          <w:highlight w:val="none"/>
        </w:rPr>
        <w:t>的转向轮向左或向右转角应小于或等于4</w:t>
      </w:r>
      <w:r>
        <w:rPr>
          <w:rFonts w:hint="eastAsia" w:hAnsi="宋体" w:cs="宋体"/>
          <w:color w:val="auto"/>
          <w:highlight w:val="none"/>
          <w:lang w:val="en-US" w:eastAsia="zh-CN"/>
        </w:rPr>
        <w:t>8</w:t>
      </w:r>
      <w:r>
        <w:rPr>
          <w:rFonts w:hint="eastAsia" w:hAnsi="宋体" w:cs="宋体"/>
          <w:color w:val="auto"/>
          <w:highlight w:val="none"/>
        </w:rPr>
        <w:t>°。</w:t>
      </w:r>
    </w:p>
    <w:p w14:paraId="6F6D92AA">
      <w:pPr>
        <w:pStyle w:val="127"/>
        <w:rPr>
          <w:color w:val="auto"/>
          <w:highlight w:val="none"/>
        </w:rPr>
      </w:pPr>
      <w:r>
        <w:rPr>
          <w:rFonts w:hint="eastAsia"/>
          <w:color w:val="auto"/>
          <w:highlight w:val="none"/>
          <w:lang w:eastAsia="zh-CN"/>
        </w:rPr>
        <w:t>越野摩托车</w:t>
      </w:r>
      <w:r>
        <w:rPr>
          <w:rFonts w:hint="eastAsia"/>
          <w:color w:val="auto"/>
          <w:highlight w:val="none"/>
        </w:rPr>
        <w:t>在平坦、硬实、干燥和清洁的道路上行驶不应跑偏，其方向把不应有摆振等异常现象。</w:t>
      </w:r>
    </w:p>
    <w:p w14:paraId="59A07DF7">
      <w:pPr>
        <w:pStyle w:val="127"/>
        <w:rPr>
          <w:color w:val="auto"/>
          <w:highlight w:val="none"/>
        </w:rPr>
      </w:pPr>
      <w:r>
        <w:rPr>
          <w:rFonts w:hint="eastAsia"/>
          <w:color w:val="auto"/>
          <w:highlight w:val="none"/>
          <w:lang w:eastAsia="zh-CN"/>
        </w:rPr>
        <w:t>越野摩托车</w:t>
      </w:r>
      <w:r>
        <w:rPr>
          <w:rFonts w:hint="eastAsia"/>
          <w:color w:val="auto"/>
          <w:highlight w:val="none"/>
        </w:rPr>
        <w:t>的前减振器、上下联板和方向把不应有变形和裂损。</w:t>
      </w:r>
    </w:p>
    <w:p w14:paraId="74CB5228">
      <w:pPr>
        <w:pStyle w:val="83"/>
        <w:rPr>
          <w:color w:val="auto"/>
          <w:highlight w:val="none"/>
        </w:rPr>
      </w:pPr>
      <w:r>
        <w:rPr>
          <w:color w:val="auto"/>
          <w:highlight w:val="none"/>
        </w:rPr>
        <w:t>乘坐</w:t>
      </w:r>
    </w:p>
    <w:p w14:paraId="68B5CC12">
      <w:pPr>
        <w:pStyle w:val="27"/>
        <w:rPr>
          <w:color w:val="auto"/>
          <w:highlight w:val="none"/>
        </w:rPr>
      </w:pPr>
      <w:r>
        <w:rPr>
          <w:rFonts w:hint="eastAsia"/>
          <w:color w:val="auto"/>
          <w:highlight w:val="none"/>
          <w:lang w:val="en-US" w:eastAsia="zh-CN"/>
        </w:rPr>
        <w:t>越野</w:t>
      </w:r>
      <w:r>
        <w:rPr>
          <w:rFonts w:hint="eastAsia"/>
          <w:color w:val="auto"/>
          <w:highlight w:val="none"/>
        </w:rPr>
        <w:t>摩托车的每个驾乘人员的固定坐垫，长度应大于等于220mm</w:t>
      </w:r>
      <w:r>
        <w:rPr>
          <w:rFonts w:hint="eastAsia"/>
          <w:color w:val="auto"/>
          <w:highlight w:val="none"/>
          <w:lang w:eastAsia="zh-CN"/>
        </w:rPr>
        <w:t>，</w:t>
      </w:r>
      <w:r>
        <w:rPr>
          <w:rFonts w:hint="eastAsia"/>
          <w:color w:val="auto"/>
          <w:highlight w:val="none"/>
          <w:lang w:val="en-US" w:eastAsia="zh-CN"/>
        </w:rPr>
        <w:t>核定乘坐驾驶人1人</w:t>
      </w:r>
      <w:r>
        <w:rPr>
          <w:rFonts w:hint="eastAsia"/>
          <w:color w:val="auto"/>
          <w:highlight w:val="none"/>
        </w:rPr>
        <w:t>。</w:t>
      </w:r>
    </w:p>
    <w:p w14:paraId="7B3A7A70">
      <w:pPr>
        <w:pStyle w:val="83"/>
        <w:rPr>
          <w:color w:val="auto"/>
          <w:highlight w:val="none"/>
        </w:rPr>
      </w:pPr>
      <w:r>
        <w:rPr>
          <w:color w:val="auto"/>
          <w:highlight w:val="none"/>
        </w:rPr>
        <w:t>车速表</w:t>
      </w:r>
    </w:p>
    <w:p w14:paraId="0D501EE4">
      <w:pPr>
        <w:pStyle w:val="83"/>
        <w:numPr>
          <w:ilvl w:val="-1"/>
          <w:numId w:val="0"/>
        </w:numPr>
        <w:ind w:firstLine="420" w:firstLineChars="200"/>
        <w:rPr>
          <w:rFonts w:hint="eastAsia" w:ascii="宋体" w:eastAsia="宋体"/>
          <w:color w:val="auto"/>
          <w:highlight w:val="none"/>
          <w:lang w:val="en-US" w:eastAsia="zh-CN"/>
        </w:rPr>
      </w:pPr>
      <w:r>
        <w:rPr>
          <w:rFonts w:hint="eastAsia" w:ascii="宋体" w:eastAsia="宋体"/>
          <w:color w:val="auto"/>
          <w:highlight w:val="none"/>
          <w:lang w:val="en-US" w:eastAsia="zh-CN"/>
        </w:rPr>
        <w:t>越野</w:t>
      </w:r>
      <w:r>
        <w:rPr>
          <w:rFonts w:hint="eastAsia" w:ascii="宋体" w:eastAsia="宋体"/>
          <w:color w:val="auto"/>
          <w:highlight w:val="none"/>
        </w:rPr>
        <w:t>摩托车车速表</w:t>
      </w:r>
      <w:r>
        <w:rPr>
          <w:rFonts w:hint="eastAsia" w:ascii="宋体" w:eastAsia="宋体"/>
          <w:color w:val="auto"/>
          <w:highlight w:val="none"/>
          <w:lang w:eastAsia="zh-CN"/>
        </w:rPr>
        <w:t>（</w:t>
      </w:r>
      <w:r>
        <w:rPr>
          <w:rFonts w:hint="eastAsia" w:ascii="宋体" w:eastAsia="宋体"/>
          <w:color w:val="auto"/>
          <w:highlight w:val="none"/>
          <w:lang w:val="en-US" w:eastAsia="zh-CN"/>
        </w:rPr>
        <w:t>若有</w:t>
      </w:r>
      <w:r>
        <w:rPr>
          <w:rFonts w:hint="eastAsia" w:ascii="宋体" w:eastAsia="宋体"/>
          <w:color w:val="auto"/>
          <w:highlight w:val="none"/>
          <w:lang w:eastAsia="zh-CN"/>
        </w:rPr>
        <w:t>）</w:t>
      </w:r>
      <w:r>
        <w:rPr>
          <w:rFonts w:hint="eastAsia" w:ascii="宋体" w:eastAsia="宋体"/>
          <w:color w:val="auto"/>
          <w:highlight w:val="none"/>
        </w:rPr>
        <w:t>指示车速</w:t>
      </w:r>
      <m:oMath>
        <m:sSub>
          <m:sSubPr>
            <m:ctrlPr>
              <w:rPr>
                <w:rFonts w:hint="default" w:ascii="Cambria Math" w:hAnsi="Cambria Math" w:cs="Times New Roman"/>
                <w:i/>
                <w:iCs/>
                <w:sz w:val="21"/>
                <w:lang w:val="en-US" w:eastAsia="zh-CN" w:bidi="ar-SA"/>
              </w:rPr>
            </m:ctrlPr>
          </m:sSubPr>
          <m:e>
            <m:r>
              <m:rPr/>
              <w:rPr>
                <w:rFonts w:hint="default" w:ascii="Cambria Math" w:hAnsi="Cambria Math" w:cs="Times New Roman"/>
                <w:sz w:val="21"/>
                <w:lang w:val="en-US" w:eastAsia="zh-CN" w:bidi="ar-SA"/>
              </w:rPr>
              <m:t>v</m:t>
            </m:r>
            <m:ctrlPr>
              <w:rPr>
                <w:rFonts w:hint="default" w:ascii="Cambria Math" w:hAnsi="Cambria Math" w:cs="Times New Roman"/>
                <w:i/>
                <w:iCs/>
                <w:sz w:val="21"/>
                <w:lang w:val="en-US" w:eastAsia="zh-CN" w:bidi="ar-SA"/>
              </w:rPr>
            </m:ctrlPr>
          </m:e>
          <m:sub>
            <m:r>
              <m:rPr/>
              <w:rPr>
                <w:rFonts w:hint="default" w:ascii="Cambria Math" w:hAnsi="Cambria Math" w:cs="Times New Roman"/>
                <w:sz w:val="21"/>
                <w:lang w:val="en-US" w:eastAsia="zh-CN" w:bidi="ar-SA"/>
              </w:rPr>
              <m:t>1</m:t>
            </m:r>
            <m:ctrlPr>
              <w:rPr>
                <w:rFonts w:hint="default" w:ascii="Cambria Math" w:hAnsi="Cambria Math" w:cs="Times New Roman"/>
                <w:i/>
                <w:iCs/>
                <w:sz w:val="21"/>
                <w:lang w:val="en-US" w:eastAsia="zh-CN" w:bidi="ar-SA"/>
              </w:rPr>
            </m:ctrlPr>
          </m:sub>
        </m:sSub>
      </m:oMath>
      <w:r>
        <w:rPr>
          <w:rFonts w:hint="eastAsia" w:ascii="宋体" w:eastAsia="宋体"/>
          <w:color w:val="auto"/>
          <w:highlight w:val="none"/>
        </w:rPr>
        <w:t>(单位:km/h)与实际车速</w:t>
      </w:r>
      <m:oMath>
        <m:sSub>
          <m:sSubPr>
            <m:ctrlPr>
              <w:rPr>
                <w:rFonts w:hint="default" w:ascii="Cambria Math" w:hAnsi="Cambria Math" w:cs="Times New Roman"/>
                <w:i/>
                <w:iCs/>
                <w:sz w:val="21"/>
                <w:lang w:val="en-US" w:eastAsia="zh-CN" w:bidi="ar-SA"/>
              </w:rPr>
            </m:ctrlPr>
          </m:sSubPr>
          <m:e>
            <m:r>
              <m:rPr/>
              <w:rPr>
                <w:rFonts w:hint="default" w:ascii="Cambria Math" w:hAnsi="Cambria Math" w:cs="Times New Roman"/>
                <w:sz w:val="21"/>
                <w:lang w:val="en-US" w:eastAsia="zh-CN" w:bidi="ar-SA"/>
              </w:rPr>
              <m:t>v</m:t>
            </m:r>
            <m:ctrlPr>
              <w:rPr>
                <w:rFonts w:hint="default" w:ascii="Cambria Math" w:hAnsi="Cambria Math" w:cs="Times New Roman"/>
                <w:i/>
                <w:iCs/>
                <w:sz w:val="21"/>
                <w:lang w:val="en-US" w:eastAsia="zh-CN" w:bidi="ar-SA"/>
              </w:rPr>
            </m:ctrlPr>
          </m:e>
          <m:sub>
            <m:r>
              <m:rPr/>
              <w:rPr>
                <w:rFonts w:hint="default" w:ascii="Cambria Math" w:hAnsi="Cambria Math" w:cs="Times New Roman"/>
                <w:sz w:val="21"/>
                <w:lang w:val="en-US" w:eastAsia="zh-CN" w:bidi="ar-SA"/>
              </w:rPr>
              <m:t>2</m:t>
            </m:r>
            <m:ctrlPr>
              <w:rPr>
                <w:rFonts w:hint="default" w:ascii="Cambria Math" w:hAnsi="Cambria Math" w:cs="Times New Roman"/>
                <w:i/>
                <w:iCs/>
                <w:sz w:val="21"/>
                <w:lang w:val="en-US" w:eastAsia="zh-CN" w:bidi="ar-SA"/>
              </w:rPr>
            </m:ctrlPr>
          </m:sub>
        </m:sSub>
      </m:oMath>
      <w:r>
        <w:rPr>
          <w:rFonts w:hint="eastAsia" w:ascii="宋体" w:eastAsia="宋体"/>
          <w:color w:val="auto"/>
          <w:highlight w:val="none"/>
        </w:rPr>
        <w:t>:(单位:km/h)之间应符合下列关系式</w:t>
      </w:r>
      <w:r>
        <w:rPr>
          <w:rFonts w:hint="eastAsia" w:ascii="宋体" w:eastAsia="宋体"/>
          <w:color w:val="auto"/>
          <w:highlight w:val="none"/>
          <w:lang w:val="en-US" w:eastAsia="zh-CN"/>
        </w:rPr>
        <w:t>：</w:t>
      </w:r>
    </w:p>
    <w:p w14:paraId="31497F36">
      <w:pPr>
        <w:pStyle w:val="115"/>
        <w:rPr>
          <w:rFonts w:hint="default"/>
          <w:lang w:val="en-US" w:eastAsia="zh-CN"/>
        </w:rPr>
      </w:pPr>
      <m:oMathPara>
        <m:oMath>
          <m:r>
            <m:rPr>
              <m:sty m:val="p"/>
            </m:rPr>
            <w:rPr>
              <w:rFonts w:hint="default" w:ascii="Times New Roman" w:hAnsi="Times New Roman"/>
              <w:lang w:val="en-US" w:eastAsia="zh-CN"/>
            </w:rPr>
            <m:t>0</m:t>
          </m:r>
          <m:r>
            <m:rPr>
              <m:sty m:val="p"/>
            </m:rPr>
            <w:rPr>
              <w:rFonts w:hint="eastAsia" w:ascii="Times New Roman" w:hAnsi="Times New Roman"/>
              <w:lang w:val="en-US" w:eastAsia="zh-CN"/>
            </w:rPr>
            <m:t>≤</m:t>
          </m:r>
          <m:sSub>
            <m:sSubPr>
              <m:ctrlPr>
                <w:rPr>
                  <w:rFonts w:hint="default" w:ascii="Cambria Math" w:hAnsi="Cambria Math" w:cs="Times New Roman"/>
                  <w:sz w:val="21"/>
                  <w:lang w:val="en-US" w:eastAsia="zh-CN" w:bidi="ar-SA"/>
                </w:rPr>
              </m:ctrlPr>
            </m:sSubPr>
            <m:e>
              <m:r>
                <m:rPr/>
                <w:rPr>
                  <w:rFonts w:hint="default" w:ascii="Cambria Math" w:hAnsi="Cambria Math" w:cs="Times New Roman"/>
                  <w:sz w:val="21"/>
                  <w:lang w:val="en-US" w:eastAsia="zh-CN" w:bidi="ar-SA"/>
                </w:rPr>
                <m:t>v</m:t>
              </m:r>
              <m:ctrlPr>
                <w:rPr>
                  <w:rFonts w:hint="default" w:ascii="Cambria Math" w:hAnsi="Cambria Math" w:cs="Times New Roman"/>
                  <w:sz w:val="21"/>
                  <w:lang w:val="en-US" w:eastAsia="zh-CN" w:bidi="ar-SA"/>
                </w:rPr>
              </m:ctrlPr>
            </m:e>
            <m:sub>
              <m:r>
                <m:rPr>
                  <m:sty m:val="p"/>
                </m:rPr>
                <w:rPr>
                  <w:rFonts w:hint="default" w:ascii="Cambria Math" w:hAnsi="Cambria Math" w:cs="Times New Roman"/>
                  <w:sz w:val="21"/>
                  <w:lang w:val="en-US" w:eastAsia="zh-CN" w:bidi="ar-SA"/>
                </w:rPr>
                <m:t>1</m:t>
              </m:r>
              <m:ctrlPr>
                <w:rPr>
                  <w:rFonts w:hint="default" w:ascii="Cambria Math" w:hAnsi="Cambria Math" w:cs="Times New Roman"/>
                  <w:sz w:val="21"/>
                  <w:lang w:val="en-US" w:eastAsia="zh-CN" w:bidi="ar-SA"/>
                </w:rPr>
              </m:ctrlPr>
            </m:sub>
          </m:sSub>
          <m:r>
            <m:rPr>
              <m:sty m:val="p"/>
            </m:rPr>
            <w:rPr>
              <w:rFonts w:hint="default" w:ascii="Times New Roman" w:hAnsi="Times New Roman"/>
              <w:lang w:val="en-US" w:eastAsia="zh-CN"/>
            </w:rPr>
            <m:t>−</m:t>
          </m:r>
          <m:sSub>
            <m:sSubPr>
              <m:ctrlPr>
                <w:rPr>
                  <w:rFonts w:hint="default" w:ascii="Cambria Math" w:hAnsi="Cambria Math" w:cs="Times New Roman"/>
                  <w:sz w:val="21"/>
                  <w:lang w:val="en-US" w:eastAsia="zh-CN" w:bidi="ar-SA"/>
                </w:rPr>
              </m:ctrlPr>
            </m:sSubPr>
            <m:e>
              <m:r>
                <m:rPr/>
                <w:rPr>
                  <w:rFonts w:hint="default" w:ascii="Cambria Math" w:hAnsi="Cambria Math" w:cs="Times New Roman"/>
                  <w:sz w:val="21"/>
                  <w:lang w:val="en-US" w:eastAsia="zh-CN" w:bidi="ar-SA"/>
                </w:rPr>
                <m:t>v</m:t>
              </m:r>
              <m:ctrlPr>
                <w:rPr>
                  <w:rFonts w:hint="default" w:ascii="Cambria Math" w:hAnsi="Cambria Math" w:cs="Times New Roman"/>
                  <w:sz w:val="21"/>
                  <w:lang w:val="en-US" w:eastAsia="zh-CN" w:bidi="ar-SA"/>
                </w:rPr>
              </m:ctrlPr>
            </m:e>
            <m:sub>
              <m:r>
                <m:rPr>
                  <m:sty m:val="p"/>
                </m:rPr>
                <w:rPr>
                  <w:rFonts w:hint="default" w:ascii="Cambria Math" w:hAnsi="Cambria Math" w:cs="Times New Roman"/>
                  <w:sz w:val="21"/>
                  <w:lang w:val="en-US" w:eastAsia="zh-CN" w:bidi="ar-SA"/>
                </w:rPr>
                <m:t>2</m:t>
              </m:r>
              <m:ctrlPr>
                <w:rPr>
                  <w:rFonts w:hint="default" w:ascii="Cambria Math" w:hAnsi="Cambria Math" w:cs="Times New Roman"/>
                  <w:sz w:val="21"/>
                  <w:lang w:val="en-US" w:eastAsia="zh-CN" w:bidi="ar-SA"/>
                </w:rPr>
              </m:ctrlPr>
            </m:sub>
          </m:sSub>
          <m:r>
            <m:rPr>
              <m:sty m:val="p"/>
            </m:rPr>
            <w:rPr>
              <w:rFonts w:hint="eastAsia" w:ascii="Times New Roman" w:hAnsi="Times New Roman"/>
              <w:lang w:val="en-US" w:eastAsia="zh-CN"/>
            </w:rPr>
            <m:t>≤</m:t>
          </m:r>
          <m:d>
            <m:dPr>
              <m:ctrlPr>
                <w:rPr>
                  <w:rFonts w:hint="eastAsia" w:ascii="Cambria Math" w:hAnsi="Cambria Math"/>
                  <w:lang w:val="en-US" w:eastAsia="zh-CN"/>
                </w:rPr>
              </m:ctrlPr>
            </m:dPr>
            <m:e>
              <m:sSub>
                <m:sSubPr>
                  <m:ctrlPr>
                    <w:rPr>
                      <w:rFonts w:hint="eastAsia" w:ascii="Cambria Math" w:hAnsi="Cambria Math"/>
                      <w:lang w:val="en-US" w:eastAsia="zh-CN"/>
                    </w:rPr>
                  </m:ctrlPr>
                </m:sSubPr>
                <m:e>
                  <m:r>
                    <m:rPr/>
                    <w:rPr>
                      <w:rFonts w:hint="default" w:ascii="Times New Roman" w:hAnsi="Times New Roman"/>
                      <w:lang w:val="en-US" w:eastAsia="zh-CN"/>
                    </w:rPr>
                    <m:t>v</m:t>
                  </m:r>
                  <m:ctrlPr>
                    <w:rPr>
                      <w:rFonts w:hint="eastAsia" w:ascii="Cambria Math" w:hAnsi="Cambria Math"/>
                      <w:lang w:val="en-US" w:eastAsia="zh-CN"/>
                    </w:rPr>
                  </m:ctrlPr>
                </m:e>
                <m:sub>
                  <m:r>
                    <m:rPr>
                      <m:sty m:val="p"/>
                    </m:rPr>
                    <w:rPr>
                      <w:rFonts w:hint="default" w:ascii="Times New Roman" w:hAnsi="Times New Roman"/>
                      <w:lang w:val="en-US" w:eastAsia="zh-CN"/>
                    </w:rPr>
                    <m:t>1</m:t>
                  </m:r>
                  <m:ctrlPr>
                    <w:rPr>
                      <w:rFonts w:hint="eastAsia" w:ascii="Cambria Math" w:hAnsi="Cambria Math"/>
                      <w:lang w:val="en-US" w:eastAsia="zh-CN"/>
                    </w:rPr>
                  </m:ctrlPr>
                </m:sub>
              </m:sSub>
              <m:r>
                <m:rPr>
                  <m:sty m:val="p"/>
                </m:rPr>
                <w:rPr>
                  <w:rFonts w:ascii="Times New Roman" w:hAnsi="Times New Roman"/>
                  <w:lang w:val="en-US"/>
                </w:rPr>
                <m:t>∕</m:t>
              </m:r>
              <m:r>
                <m:rPr>
                  <m:sty m:val="p"/>
                </m:rPr>
                <w:rPr>
                  <w:rFonts w:hint="default" w:ascii="Times New Roman" w:hAnsi="Times New Roman"/>
                  <w:lang w:val="en-US" w:eastAsia="zh-CN"/>
                </w:rPr>
                <m:t>10</m:t>
              </m:r>
              <m:ctrlPr>
                <w:rPr>
                  <w:rFonts w:hint="eastAsia" w:ascii="Cambria Math" w:hAnsi="Cambria Math"/>
                  <w:lang w:val="en-US" w:eastAsia="zh-CN"/>
                </w:rPr>
              </m:ctrlPr>
            </m:e>
          </m:d>
          <m:r>
            <m:rPr>
              <m:sty m:val="p"/>
            </m:rPr>
            <w:rPr>
              <w:rFonts w:hint="default" w:ascii="Times New Roman" w:hAnsi="Times New Roman"/>
              <w:lang w:val="en-US" w:eastAsia="zh-CN"/>
            </w:rPr>
            <m:t>+4</m:t>
          </m:r>
        </m:oMath>
      </m:oMathPara>
    </w:p>
    <w:p w14:paraId="1933E34C">
      <w:pPr>
        <w:pStyle w:val="83"/>
        <w:numPr>
          <w:ilvl w:val="-1"/>
          <w:numId w:val="0"/>
        </w:numPr>
        <w:ind w:firstLine="420" w:firstLineChars="200"/>
        <w:rPr>
          <w:color w:val="auto"/>
          <w:highlight w:val="none"/>
        </w:rPr>
      </w:pPr>
    </w:p>
    <w:p w14:paraId="751E5C6F">
      <w:pPr>
        <w:pStyle w:val="83"/>
        <w:rPr>
          <w:color w:val="auto"/>
          <w:highlight w:val="none"/>
        </w:rPr>
      </w:pPr>
      <w:r>
        <w:rPr>
          <w:color w:val="auto"/>
          <w:highlight w:val="none"/>
        </w:rPr>
        <w:t>操纵件、指示器及信号装置的图形符号</w:t>
      </w:r>
    </w:p>
    <w:p w14:paraId="28CCF2F4">
      <w:pPr>
        <w:pStyle w:val="127"/>
        <w:rPr>
          <w:color w:val="auto"/>
          <w:highlight w:val="none"/>
        </w:rPr>
      </w:pPr>
      <w:r>
        <w:rPr>
          <w:rFonts w:hint="eastAsia"/>
          <w:color w:val="auto"/>
          <w:highlight w:val="none"/>
        </w:rPr>
        <w:t>操纵件、指示器及信号装置的图形符号应符合GB 15365的规定。</w:t>
      </w:r>
    </w:p>
    <w:p w14:paraId="59915261">
      <w:pPr>
        <w:pStyle w:val="127"/>
        <w:rPr>
          <w:color w:val="auto"/>
          <w:highlight w:val="none"/>
        </w:rPr>
      </w:pPr>
      <w:r>
        <w:rPr>
          <w:rFonts w:hint="eastAsia"/>
          <w:color w:val="auto"/>
          <w:highlight w:val="none"/>
        </w:rPr>
        <w:t>应装有蓄电池剩余电能指示装置，该装置应符合GB 24155的规定。</w:t>
      </w:r>
    </w:p>
    <w:p w14:paraId="1A431C79">
      <w:pPr>
        <w:pStyle w:val="83"/>
        <w:rPr>
          <w:color w:val="auto"/>
          <w:highlight w:val="none"/>
        </w:rPr>
      </w:pPr>
      <w:r>
        <w:rPr>
          <w:rFonts w:hint="eastAsia"/>
          <w:lang w:val="en-US" w:eastAsia="zh-CN"/>
        </w:rPr>
        <w:t>喇叭</w:t>
      </w:r>
    </w:p>
    <w:p w14:paraId="466330DD">
      <w:pPr>
        <w:pStyle w:val="27"/>
        <w:rPr>
          <w:rFonts w:hint="eastAsia"/>
          <w:color w:val="auto"/>
          <w:highlight w:val="none"/>
        </w:rPr>
      </w:pPr>
      <w:r>
        <w:rPr>
          <w:rFonts w:hint="eastAsia"/>
          <w:color w:val="auto"/>
          <w:highlight w:val="none"/>
        </w:rPr>
        <w:t>喇叭</w:t>
      </w:r>
      <w:r>
        <w:rPr>
          <w:rFonts w:hint="eastAsia"/>
          <w:color w:val="auto"/>
          <w:highlight w:val="none"/>
          <w:lang w:eastAsia="zh-CN"/>
        </w:rPr>
        <w:t>（</w:t>
      </w:r>
      <w:r>
        <w:rPr>
          <w:rFonts w:hint="eastAsia"/>
          <w:color w:val="auto"/>
          <w:highlight w:val="none"/>
          <w:lang w:val="en-US" w:eastAsia="zh-CN"/>
        </w:rPr>
        <w:t>若有</w:t>
      </w:r>
      <w:r>
        <w:rPr>
          <w:rFonts w:hint="eastAsia"/>
          <w:color w:val="auto"/>
          <w:highlight w:val="none"/>
          <w:lang w:eastAsia="zh-CN"/>
        </w:rPr>
        <w:t>）</w:t>
      </w:r>
      <w:r>
        <w:rPr>
          <w:rFonts w:hint="eastAsia"/>
          <w:color w:val="auto"/>
          <w:highlight w:val="none"/>
        </w:rPr>
        <w:t>应具有连续发声功能,喇叭性能及其安装应符合GB</w:t>
      </w:r>
      <w:r>
        <w:rPr>
          <w:rFonts w:hint="eastAsia"/>
          <w:color w:val="auto"/>
          <w:highlight w:val="none"/>
          <w:lang w:val="en-US" w:eastAsia="zh-CN"/>
        </w:rPr>
        <w:t xml:space="preserve"> </w:t>
      </w:r>
      <w:r>
        <w:rPr>
          <w:rFonts w:hint="eastAsia"/>
          <w:color w:val="auto"/>
          <w:highlight w:val="none"/>
        </w:rPr>
        <w:t>15742的规定</w:t>
      </w:r>
      <w:r>
        <w:rPr>
          <w:rFonts w:hint="eastAsia"/>
          <w:color w:val="auto"/>
          <w:highlight w:val="none"/>
          <w:lang w:eastAsia="zh-CN"/>
        </w:rPr>
        <w:t>。</w:t>
      </w:r>
    </w:p>
    <w:p w14:paraId="5BDD53AF">
      <w:pPr>
        <w:pStyle w:val="83"/>
        <w:rPr>
          <w:color w:val="auto"/>
          <w:highlight w:val="none"/>
        </w:rPr>
      </w:pPr>
      <w:r>
        <w:rPr>
          <w:rFonts w:hint="eastAsia"/>
          <w:color w:val="auto"/>
          <w:highlight w:val="none"/>
          <w:lang w:val="en-US" w:eastAsia="zh-CN"/>
        </w:rPr>
        <w:t>间接视野装置</w:t>
      </w:r>
    </w:p>
    <w:p w14:paraId="09B0E9F1">
      <w:pPr>
        <w:pStyle w:val="27"/>
        <w:rPr>
          <w:rFonts w:hint="eastAsia" w:eastAsia="宋体"/>
          <w:lang w:eastAsia="zh-CN"/>
        </w:rPr>
      </w:pPr>
      <w:r>
        <w:rPr>
          <w:rFonts w:hint="eastAsia"/>
        </w:rPr>
        <w:t>间接视野装置</w:t>
      </w:r>
      <w:r>
        <w:rPr>
          <w:rFonts w:hint="eastAsia"/>
          <w:lang w:eastAsia="zh-CN"/>
        </w:rPr>
        <w:t>（</w:t>
      </w:r>
      <w:r>
        <w:rPr>
          <w:rFonts w:hint="eastAsia"/>
          <w:lang w:val="en-US" w:eastAsia="zh-CN"/>
        </w:rPr>
        <w:t>若有</w:t>
      </w:r>
      <w:r>
        <w:rPr>
          <w:rFonts w:hint="eastAsia"/>
          <w:lang w:eastAsia="zh-CN"/>
        </w:rPr>
        <w:t>）</w:t>
      </w:r>
      <w:r>
        <w:rPr>
          <w:rFonts w:hint="eastAsia"/>
        </w:rPr>
        <w:t>性能及其安装要求应符合GB</w:t>
      </w:r>
      <w:r>
        <w:rPr>
          <w:rFonts w:hint="eastAsia"/>
          <w:lang w:val="en-US" w:eastAsia="zh-CN"/>
        </w:rPr>
        <w:t xml:space="preserve"> </w:t>
      </w:r>
      <w:r>
        <w:rPr>
          <w:rFonts w:hint="eastAsia"/>
        </w:rPr>
        <w:t>17352或GB</w:t>
      </w:r>
      <w:r>
        <w:rPr>
          <w:rFonts w:hint="eastAsia"/>
          <w:lang w:val="en-US" w:eastAsia="zh-CN"/>
        </w:rPr>
        <w:t xml:space="preserve"> </w:t>
      </w:r>
      <w:r>
        <w:rPr>
          <w:rFonts w:hint="eastAsia"/>
        </w:rPr>
        <w:t>15084的规定</w:t>
      </w:r>
      <w:r>
        <w:rPr>
          <w:rFonts w:hint="eastAsia"/>
          <w:lang w:eastAsia="zh-CN"/>
        </w:rPr>
        <w:t>。</w:t>
      </w:r>
    </w:p>
    <w:p w14:paraId="47FD4220">
      <w:pPr>
        <w:pStyle w:val="83"/>
        <w:rPr>
          <w:color w:val="auto"/>
          <w:highlight w:val="none"/>
        </w:rPr>
      </w:pPr>
      <w:r>
        <w:rPr>
          <w:rFonts w:hint="eastAsia"/>
          <w:color w:val="auto"/>
          <w:highlight w:val="none"/>
        </w:rPr>
        <w:t>驻车稳定角</w:t>
      </w:r>
    </w:p>
    <w:p w14:paraId="1E8A6E53">
      <w:pPr>
        <w:pStyle w:val="27"/>
        <w:rPr>
          <w:color w:val="auto"/>
          <w:highlight w:val="none"/>
        </w:rPr>
      </w:pPr>
      <w:r>
        <w:rPr>
          <w:rFonts w:hint="eastAsia"/>
          <w:color w:val="auto"/>
          <w:highlight w:val="none"/>
          <w:lang w:eastAsia="zh-CN"/>
        </w:rPr>
        <w:t>越野摩托车</w:t>
      </w:r>
      <w:r>
        <w:rPr>
          <w:rFonts w:hint="eastAsia"/>
          <w:color w:val="auto"/>
          <w:highlight w:val="none"/>
        </w:rPr>
        <w:t>向左、向右、向前、向后的驻车稳定角分别应大于或等于</w:t>
      </w:r>
      <w:r>
        <w:rPr>
          <w:rFonts w:hint="eastAsia"/>
          <w:color w:val="auto"/>
          <w:highlight w:val="none"/>
          <w:lang w:val="en-US" w:eastAsia="zh-CN"/>
        </w:rPr>
        <w:t>10</w:t>
      </w: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9</w:t>
      </w:r>
      <w:r>
        <w:rPr>
          <w:rFonts w:hint="eastAsia"/>
          <w:color w:val="auto"/>
          <w:highlight w:val="none"/>
        </w:rPr>
        <w:t>°；</w:t>
      </w:r>
      <w:r>
        <w:rPr>
          <w:rFonts w:hint="eastAsia"/>
          <w:color w:val="auto"/>
          <w:highlight w:val="none"/>
          <w:lang w:eastAsia="zh-CN"/>
        </w:rPr>
        <w:t>越野摩托车</w:t>
      </w:r>
      <w:r>
        <w:rPr>
          <w:rFonts w:hint="eastAsia"/>
          <w:color w:val="auto"/>
          <w:highlight w:val="none"/>
          <w:lang w:val="en-US" w:eastAsia="zh-CN"/>
        </w:rPr>
        <w:t>可不设计停车架，若使用</w:t>
      </w:r>
      <w:r>
        <w:rPr>
          <w:rFonts w:hint="eastAsia"/>
          <w:color w:val="auto"/>
          <w:highlight w:val="none"/>
        </w:rPr>
        <w:t>停车架支撑时，向左、向右、向前、向后的驻车稳定角均应大于或等于8°。</w:t>
      </w:r>
    </w:p>
    <w:p w14:paraId="3B6E5097">
      <w:pPr>
        <w:pStyle w:val="83"/>
        <w:rPr>
          <w:color w:val="auto"/>
          <w:highlight w:val="none"/>
        </w:rPr>
      </w:pPr>
      <w:r>
        <w:rPr>
          <w:rFonts w:hint="eastAsia"/>
          <w:color w:val="auto"/>
          <w:highlight w:val="none"/>
        </w:rPr>
        <w:t>防盗装置</w:t>
      </w:r>
    </w:p>
    <w:p w14:paraId="1216853A">
      <w:pPr>
        <w:pStyle w:val="27"/>
        <w:rPr>
          <w:color w:val="auto"/>
          <w:highlight w:val="none"/>
        </w:rPr>
      </w:pPr>
      <w:r>
        <w:rPr>
          <w:rFonts w:hint="eastAsia"/>
          <w:color w:val="auto"/>
          <w:highlight w:val="none"/>
        </w:rPr>
        <w:t>防盗装置</w:t>
      </w:r>
      <w:r>
        <w:rPr>
          <w:rFonts w:hint="eastAsia"/>
          <w:color w:val="auto"/>
          <w:highlight w:val="none"/>
          <w:lang w:eastAsia="zh-CN"/>
        </w:rPr>
        <w:t>（</w:t>
      </w:r>
      <w:r>
        <w:rPr>
          <w:rFonts w:hint="eastAsia"/>
          <w:color w:val="auto"/>
          <w:highlight w:val="none"/>
          <w:lang w:val="en-US" w:eastAsia="zh-CN"/>
        </w:rPr>
        <w:t>若有</w:t>
      </w:r>
      <w:r>
        <w:rPr>
          <w:rFonts w:hint="eastAsia"/>
          <w:color w:val="auto"/>
          <w:highlight w:val="none"/>
          <w:lang w:eastAsia="zh-CN"/>
        </w:rPr>
        <w:t>）</w:t>
      </w:r>
      <w:r>
        <w:rPr>
          <w:rFonts w:hint="eastAsia"/>
          <w:color w:val="auto"/>
          <w:highlight w:val="none"/>
        </w:rPr>
        <w:t>应符合GB 17353的规定。</w:t>
      </w:r>
    </w:p>
    <w:p w14:paraId="04EC2247">
      <w:pPr>
        <w:pStyle w:val="83"/>
        <w:rPr>
          <w:color w:val="auto"/>
          <w:highlight w:val="none"/>
        </w:rPr>
      </w:pPr>
      <w:r>
        <w:rPr>
          <w:rFonts w:hint="eastAsia"/>
          <w:color w:val="auto"/>
          <w:highlight w:val="none"/>
        </w:rPr>
        <w:t>外部凸出物</w:t>
      </w:r>
    </w:p>
    <w:p w14:paraId="71EBBE14">
      <w:pPr>
        <w:pStyle w:val="27"/>
        <w:rPr>
          <w:color w:val="auto"/>
          <w:highlight w:val="none"/>
        </w:rPr>
      </w:pPr>
      <w:r>
        <w:rPr>
          <w:rFonts w:hint="eastAsia"/>
          <w:color w:val="auto"/>
          <w:highlight w:val="none"/>
        </w:rPr>
        <w:t>外部凸出物应符合GB 20074的规定。</w:t>
      </w:r>
    </w:p>
    <w:p w14:paraId="7BE7FF9F">
      <w:pPr>
        <w:pStyle w:val="83"/>
        <w:rPr>
          <w:color w:val="auto"/>
          <w:highlight w:val="none"/>
        </w:rPr>
      </w:pPr>
      <w:r>
        <w:rPr>
          <w:rFonts w:hint="eastAsia"/>
          <w:color w:val="auto"/>
          <w:highlight w:val="none"/>
        </w:rPr>
        <w:t>制动性能</w:t>
      </w:r>
    </w:p>
    <w:p w14:paraId="0E46686E">
      <w:pPr>
        <w:pStyle w:val="27"/>
        <w:rPr>
          <w:color w:val="auto"/>
          <w:highlight w:val="none"/>
        </w:rPr>
      </w:pPr>
      <w:r>
        <w:rPr>
          <w:rFonts w:hint="eastAsia"/>
          <w:color w:val="auto"/>
          <w:highlight w:val="none"/>
        </w:rPr>
        <w:t>制动性能应符合GB 20073相关规定。</w:t>
      </w:r>
    </w:p>
    <w:p w14:paraId="3E210C91">
      <w:pPr>
        <w:pStyle w:val="83"/>
        <w:rPr>
          <w:color w:val="auto"/>
          <w:highlight w:val="none"/>
        </w:rPr>
      </w:pPr>
      <w:r>
        <w:rPr>
          <w:rFonts w:hint="eastAsia"/>
          <w:color w:val="auto"/>
          <w:highlight w:val="none"/>
        </w:rPr>
        <w:t>无线电骚扰特性</w:t>
      </w:r>
    </w:p>
    <w:p w14:paraId="14EBF0E4">
      <w:pPr>
        <w:pStyle w:val="27"/>
        <w:rPr>
          <w:color w:val="auto"/>
          <w:highlight w:val="none"/>
        </w:rPr>
      </w:pPr>
      <w:r>
        <w:rPr>
          <w:rFonts w:hint="eastAsia"/>
          <w:color w:val="auto"/>
          <w:highlight w:val="none"/>
        </w:rPr>
        <w:t>无线电骚扰特性应符合GB 14023的规定</w:t>
      </w:r>
    </w:p>
    <w:p w14:paraId="3A8528FB">
      <w:pPr>
        <w:pStyle w:val="83"/>
        <w:rPr>
          <w:color w:val="auto"/>
          <w:highlight w:val="none"/>
        </w:rPr>
      </w:pPr>
      <w:r>
        <w:rPr>
          <w:rFonts w:hint="eastAsia"/>
          <w:color w:val="auto"/>
          <w:highlight w:val="none"/>
        </w:rPr>
        <w:t>电磁兼容性</w:t>
      </w:r>
    </w:p>
    <w:p w14:paraId="2181E9F8">
      <w:pPr>
        <w:pStyle w:val="27"/>
        <w:rPr>
          <w:color w:val="auto"/>
          <w:highlight w:val="none"/>
        </w:rPr>
      </w:pPr>
      <w:r>
        <w:rPr>
          <w:rFonts w:hint="eastAsia"/>
          <w:color w:val="auto"/>
          <w:highlight w:val="none"/>
        </w:rPr>
        <w:t>电磁兼容性要求应符合GB/T 18387和GB 34660的相关规定。</w:t>
      </w:r>
    </w:p>
    <w:p w14:paraId="4E1B3045">
      <w:pPr>
        <w:pStyle w:val="83"/>
        <w:rPr>
          <w:color w:val="auto"/>
          <w:highlight w:val="none"/>
        </w:rPr>
      </w:pPr>
      <w:r>
        <w:rPr>
          <w:rFonts w:hint="eastAsia"/>
          <w:color w:val="auto"/>
          <w:highlight w:val="none"/>
        </w:rPr>
        <w:t>灯光与信号装置</w:t>
      </w:r>
    </w:p>
    <w:p w14:paraId="2FF10E52">
      <w:pPr>
        <w:pStyle w:val="27"/>
        <w:rPr>
          <w:rFonts w:hint="default" w:eastAsia="宋体"/>
          <w:highlight w:val="none"/>
          <w:lang w:val="en-US" w:eastAsia="zh-CN"/>
        </w:rPr>
      </w:pPr>
      <w:r>
        <w:rPr>
          <w:rFonts w:hint="eastAsia"/>
          <w:color w:val="auto"/>
          <w:highlight w:val="none"/>
          <w:lang w:val="en-US" w:eastAsia="zh-CN"/>
        </w:rPr>
        <w:t>灯光与信号装置（若有）的安装及性能应符合GB/T 24158—2018的相关规定。</w:t>
      </w:r>
    </w:p>
    <w:p w14:paraId="51BBA5C1">
      <w:pPr>
        <w:pStyle w:val="83"/>
        <w:rPr>
          <w:color w:val="auto"/>
          <w:highlight w:val="none"/>
        </w:rPr>
      </w:pPr>
      <w:r>
        <w:rPr>
          <w:rFonts w:hint="eastAsia"/>
          <w:color w:val="auto"/>
          <w:highlight w:val="none"/>
        </w:rPr>
        <w:t>电气部件</w:t>
      </w:r>
    </w:p>
    <w:p w14:paraId="26D2C69E">
      <w:pPr>
        <w:pStyle w:val="127"/>
        <w:rPr>
          <w:color w:val="auto"/>
          <w:highlight w:val="none"/>
        </w:rPr>
      </w:pPr>
      <w:r>
        <w:rPr>
          <w:rFonts w:hint="eastAsia"/>
          <w:color w:val="auto"/>
          <w:highlight w:val="none"/>
          <w:lang w:val="en-US" w:eastAsia="zh-CN"/>
        </w:rPr>
        <w:t>越野摩托车</w:t>
      </w:r>
      <w:r>
        <w:rPr>
          <w:rFonts w:hint="eastAsia"/>
          <w:color w:val="auto"/>
          <w:highlight w:val="none"/>
        </w:rPr>
        <w:t>用锂离子蓄电池应符合GB/T 36672的规定。</w:t>
      </w:r>
    </w:p>
    <w:p w14:paraId="54B8D85B">
      <w:pPr>
        <w:pStyle w:val="127"/>
        <w:rPr>
          <w:color w:val="auto"/>
          <w:highlight w:val="none"/>
        </w:rPr>
      </w:pPr>
      <w:r>
        <w:rPr>
          <w:rFonts w:hint="eastAsia"/>
          <w:color w:val="auto"/>
          <w:highlight w:val="none"/>
          <w:lang w:val="en-US" w:eastAsia="zh-CN"/>
        </w:rPr>
        <w:t>越野摩托车</w:t>
      </w:r>
      <w:r>
        <w:rPr>
          <w:rFonts w:hint="eastAsia"/>
          <w:color w:val="auto"/>
          <w:highlight w:val="none"/>
        </w:rPr>
        <w:t>用</w:t>
      </w:r>
      <w:r>
        <w:rPr>
          <w:rFonts w:hint="eastAsia"/>
          <w:color w:val="auto"/>
          <w:highlight w:val="none"/>
          <w:lang w:val="en-US" w:eastAsia="zh-CN"/>
        </w:rPr>
        <w:t>充电器应符合GB/T 44852和GB 24155的规定。</w:t>
      </w:r>
    </w:p>
    <w:p w14:paraId="1D6FAC62">
      <w:pPr>
        <w:pStyle w:val="127"/>
        <w:rPr>
          <w:rFonts w:hint="eastAsia"/>
          <w:color w:val="auto"/>
          <w:highlight w:val="none"/>
          <w:lang w:val="en-US" w:eastAsia="zh-CN"/>
        </w:rPr>
      </w:pPr>
      <w:r>
        <w:rPr>
          <w:rFonts w:hint="eastAsia"/>
          <w:color w:val="auto"/>
          <w:highlight w:val="none"/>
          <w:lang w:val="en-US" w:eastAsia="zh-CN"/>
        </w:rPr>
        <w:t>越野摩托车</w:t>
      </w:r>
      <w:r>
        <w:rPr>
          <w:rFonts w:hint="eastAsia"/>
          <w:color w:val="auto"/>
          <w:highlight w:val="none"/>
        </w:rPr>
        <w:t>用电动机总成应符合 QC/T 792的规定。</w:t>
      </w:r>
    </w:p>
    <w:p w14:paraId="09B230D9">
      <w:pPr>
        <w:pStyle w:val="127"/>
        <w:rPr>
          <w:color w:val="auto"/>
          <w:highlight w:val="none"/>
        </w:rPr>
      </w:pPr>
      <w:r>
        <w:rPr>
          <w:rFonts w:hint="eastAsia"/>
          <w:color w:val="auto"/>
          <w:highlight w:val="none"/>
          <w:lang w:val="en-US" w:eastAsia="zh-CN"/>
        </w:rPr>
        <w:t>越野摩托车</w:t>
      </w:r>
      <w:r>
        <w:rPr>
          <w:rFonts w:hint="eastAsia"/>
          <w:color w:val="auto"/>
          <w:highlight w:val="none"/>
        </w:rPr>
        <w:t>用控制器除应符合 QC/T 792的规定外,还应符合下列规定:</w:t>
      </w:r>
    </w:p>
    <w:p w14:paraId="1408B0ED">
      <w:pPr>
        <w:pStyle w:val="89"/>
        <w:numPr>
          <w:ilvl w:val="0"/>
          <w:numId w:val="19"/>
        </w:numPr>
        <w:rPr>
          <w:color w:val="auto"/>
          <w:highlight w:val="none"/>
        </w:rPr>
      </w:pPr>
      <w:r>
        <w:rPr>
          <w:rFonts w:hint="eastAsia"/>
          <w:color w:val="auto"/>
          <w:highlight w:val="none"/>
        </w:rPr>
        <w:t>淋雨或使用高压清洗系统冲洗后仍能正常工作;</w:t>
      </w:r>
    </w:p>
    <w:p w14:paraId="2C784180">
      <w:pPr>
        <w:pStyle w:val="89"/>
        <w:rPr>
          <w:color w:val="auto"/>
          <w:highlight w:val="none"/>
        </w:rPr>
      </w:pPr>
      <w:r>
        <w:rPr>
          <w:rFonts w:hint="eastAsia"/>
          <w:color w:val="auto"/>
          <w:highlight w:val="none"/>
        </w:rPr>
        <w:t>控制器应能保证车辆在加速器与制动同时运行时,不产生意外的驱动或加速;</w:t>
      </w:r>
    </w:p>
    <w:p w14:paraId="1C759754">
      <w:pPr>
        <w:pStyle w:val="89"/>
        <w:rPr>
          <w:color w:val="auto"/>
          <w:highlight w:val="none"/>
        </w:rPr>
      </w:pPr>
      <w:r>
        <w:rPr>
          <w:rFonts w:hint="eastAsia"/>
          <w:color w:val="auto"/>
          <w:highlight w:val="none"/>
        </w:rPr>
        <w:t>具有行驶定速装置(无论采取何种定速方式)的控制器,前、后轮中任一车轮制动时,定速装置</w:t>
      </w:r>
    </w:p>
    <w:p w14:paraId="663B4476">
      <w:pPr>
        <w:pStyle w:val="89"/>
        <w:numPr>
          <w:ilvl w:val="0"/>
          <w:numId w:val="0"/>
        </w:numPr>
        <w:ind w:left="420"/>
        <w:rPr>
          <w:color w:val="auto"/>
          <w:highlight w:val="none"/>
        </w:rPr>
      </w:pPr>
      <w:r>
        <w:rPr>
          <w:rFonts w:hint="eastAsia"/>
          <w:color w:val="auto"/>
          <w:highlight w:val="none"/>
        </w:rPr>
        <w:t>应立即失效;</w:t>
      </w:r>
    </w:p>
    <w:p w14:paraId="0ABE3FA2">
      <w:pPr>
        <w:pStyle w:val="89"/>
        <w:rPr>
          <w:color w:val="auto"/>
          <w:highlight w:val="none"/>
        </w:rPr>
      </w:pPr>
      <w:r>
        <w:rPr>
          <w:rFonts w:hint="eastAsia"/>
          <w:color w:val="auto"/>
          <w:highlight w:val="none"/>
        </w:rPr>
        <w:t>具有电机(磁)制动装置的控制器,该制动装置应能在制动时，缓慢施加制动力辅助制动，电动机不应因突加激磁电流而骤停,从而导致车辆侧滑或甩尾;</w:t>
      </w:r>
    </w:p>
    <w:p w14:paraId="31210B0B">
      <w:pPr>
        <w:pStyle w:val="83"/>
        <w:rPr>
          <w:color w:val="auto"/>
          <w:highlight w:val="none"/>
        </w:rPr>
      </w:pPr>
      <w:r>
        <w:rPr>
          <w:rFonts w:hint="eastAsia"/>
          <w:color w:val="auto"/>
          <w:highlight w:val="none"/>
        </w:rPr>
        <w:t>主要性能</w:t>
      </w:r>
    </w:p>
    <w:p w14:paraId="5BB180DB">
      <w:pPr>
        <w:pStyle w:val="27"/>
        <w:rPr>
          <w:rFonts w:hAnsi="宋体" w:cs="宋体"/>
          <w:color w:val="auto"/>
          <w:highlight w:val="none"/>
        </w:rPr>
      </w:pPr>
      <w:r>
        <w:rPr>
          <w:rFonts w:hint="eastAsia"/>
          <w:color w:val="auto"/>
          <w:highlight w:val="none"/>
          <w:lang w:val="en-US" w:eastAsia="zh-CN"/>
        </w:rPr>
        <w:t>越野摩托车</w:t>
      </w:r>
      <w:r>
        <w:rPr>
          <w:rFonts w:hint="eastAsia" w:hAnsi="宋体" w:cs="宋体"/>
          <w:color w:val="auto"/>
          <w:highlight w:val="none"/>
        </w:rPr>
        <w:t>加速性能、爬坡能力、能量消耗率、续驶里程</w:t>
      </w:r>
      <w:r>
        <w:rPr>
          <w:rFonts w:hint="eastAsia" w:hAnsi="宋体" w:cs="宋体"/>
          <w:color w:val="auto"/>
          <w:highlight w:val="none"/>
          <w:lang w:val="en-US" w:eastAsia="zh-CN"/>
        </w:rPr>
        <w:t>等性能指标</w:t>
      </w:r>
      <w:r>
        <w:rPr>
          <w:rFonts w:hint="eastAsia" w:hAnsi="宋体" w:cs="宋体"/>
          <w:color w:val="auto"/>
          <w:highlight w:val="none"/>
        </w:rPr>
        <w:t>应符合表</w:t>
      </w:r>
      <w:r>
        <w:rPr>
          <w:rFonts w:hint="eastAsia" w:hAnsi="宋体" w:cs="宋体"/>
          <w:color w:val="auto"/>
          <w:highlight w:val="none"/>
          <w:lang w:eastAsia="zh-CN"/>
        </w:rPr>
        <w:t>2</w:t>
      </w:r>
      <w:r>
        <w:rPr>
          <w:rFonts w:hint="eastAsia" w:hAnsi="宋体" w:cs="宋体"/>
          <w:color w:val="auto"/>
          <w:highlight w:val="none"/>
        </w:rPr>
        <w:t>规定。</w:t>
      </w:r>
    </w:p>
    <w:p w14:paraId="43A945EC">
      <w:pPr>
        <w:pStyle w:val="107"/>
        <w:rPr>
          <w:color w:val="auto"/>
          <w:highlight w:val="none"/>
        </w:rPr>
      </w:pPr>
      <w:r>
        <w:rPr>
          <w:rFonts w:hint="eastAsia"/>
          <w:color w:val="auto"/>
          <w:highlight w:val="none"/>
        </w:rPr>
        <w:t>摩托车主要性能参数</w:t>
      </w:r>
    </w:p>
    <w:tbl>
      <w:tblPr>
        <w:tblStyle w:val="3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6"/>
      </w:tblGrid>
      <w:tr w14:paraId="6EFBA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bottom w:val="single" w:color="auto" w:sz="8" w:space="0"/>
              <w:tl2br w:val="nil"/>
              <w:tr2bl w:val="nil"/>
            </w:tcBorders>
            <w:vAlign w:val="center"/>
          </w:tcPr>
          <w:p w14:paraId="4FEC4BF2">
            <w:pPr>
              <w:jc w:val="center"/>
              <w:rPr>
                <w:rFonts w:ascii="宋体" w:hAnsi="宋体" w:cs="宋体"/>
                <w:color w:val="auto"/>
                <w:sz w:val="18"/>
                <w:szCs w:val="18"/>
                <w:highlight w:val="none"/>
              </w:rPr>
            </w:pPr>
            <w:r>
              <w:rPr>
                <w:rFonts w:hint="eastAsia" w:ascii="宋体" w:hAnsi="宋体" w:cs="宋体"/>
                <w:color w:val="auto"/>
                <w:sz w:val="18"/>
                <w:szCs w:val="18"/>
                <w:highlight w:val="none"/>
              </w:rPr>
              <w:t>性能项目</w:t>
            </w:r>
          </w:p>
        </w:tc>
        <w:tc>
          <w:tcPr>
            <w:tcW w:w="4786" w:type="dxa"/>
            <w:tcBorders>
              <w:bottom w:val="single" w:color="auto" w:sz="8" w:space="0"/>
              <w:tl2br w:val="nil"/>
              <w:tr2bl w:val="nil"/>
            </w:tcBorders>
            <w:vAlign w:val="center"/>
          </w:tcPr>
          <w:p w14:paraId="372A5B41">
            <w:pPr>
              <w:jc w:val="center"/>
              <w:rPr>
                <w:rFonts w:ascii="宋体" w:hAnsi="宋体" w:cs="宋体"/>
                <w:color w:val="auto"/>
                <w:sz w:val="18"/>
                <w:szCs w:val="18"/>
                <w:highlight w:val="none"/>
              </w:rPr>
            </w:pPr>
            <w:r>
              <w:rPr>
                <w:rFonts w:hint="eastAsia" w:ascii="宋体" w:hAnsi="宋体" w:cs="宋体"/>
                <w:color w:val="auto"/>
                <w:sz w:val="18"/>
                <w:szCs w:val="18"/>
                <w:highlight w:val="none"/>
              </w:rPr>
              <w:t>技术参数</w:t>
            </w:r>
          </w:p>
        </w:tc>
      </w:tr>
      <w:tr w14:paraId="414DB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8" w:space="0"/>
              <w:tl2br w:val="nil"/>
              <w:tr2bl w:val="nil"/>
            </w:tcBorders>
            <w:vAlign w:val="center"/>
          </w:tcPr>
          <w:p w14:paraId="48109798">
            <w:pPr>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0-50km/h</w:t>
            </w:r>
            <w:r>
              <w:rPr>
                <w:rFonts w:hint="eastAsia" w:ascii="宋体" w:hAnsi="宋体" w:cs="宋体"/>
                <w:color w:val="auto"/>
                <w:sz w:val="18"/>
                <w:szCs w:val="18"/>
                <w:highlight w:val="none"/>
              </w:rPr>
              <w:t>加速性能(s</w:t>
            </w:r>
            <w:r>
              <w:rPr>
                <w:rFonts w:hint="eastAsia" w:ascii="宋体" w:hAnsi="宋体" w:cs="宋体"/>
                <w:color w:val="auto"/>
                <w:sz w:val="18"/>
                <w:szCs w:val="18"/>
                <w:highlight w:val="none"/>
                <w:lang w:val="en-US" w:eastAsia="zh-CN"/>
              </w:rPr>
              <w:t>)</w:t>
            </w:r>
          </w:p>
        </w:tc>
        <w:tc>
          <w:tcPr>
            <w:tcW w:w="4786" w:type="dxa"/>
            <w:tcBorders>
              <w:top w:val="single" w:color="auto" w:sz="8" w:space="0"/>
              <w:tl2br w:val="nil"/>
              <w:tr2bl w:val="nil"/>
            </w:tcBorders>
            <w:vAlign w:val="center"/>
          </w:tcPr>
          <w:p w14:paraId="3F948F64">
            <w:pPr>
              <w:jc w:val="center"/>
              <w:rPr>
                <w:rFonts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5.0</w:t>
            </w:r>
          </w:p>
        </w:tc>
      </w:tr>
      <w:tr w14:paraId="65F0A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bottom w:val="single" w:color="auto" w:sz="4" w:space="0"/>
              <w:tl2br w:val="nil"/>
              <w:tr2bl w:val="nil"/>
            </w:tcBorders>
            <w:vAlign w:val="center"/>
          </w:tcPr>
          <w:p w14:paraId="5E28BF71">
            <w:pPr>
              <w:jc w:val="center"/>
              <w:rPr>
                <w:rFonts w:ascii="宋体" w:hAnsi="宋体" w:cs="宋体"/>
                <w:color w:val="auto"/>
                <w:sz w:val="18"/>
                <w:szCs w:val="18"/>
                <w:highlight w:val="none"/>
              </w:rPr>
            </w:pPr>
            <w:r>
              <w:rPr>
                <w:rFonts w:hint="eastAsia" w:ascii="宋体" w:hAnsi="宋体" w:cs="宋体"/>
                <w:color w:val="auto"/>
                <w:sz w:val="18"/>
                <w:szCs w:val="18"/>
                <w:highlight w:val="none"/>
              </w:rPr>
              <w:t>爬坡能力</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w:t>
            </w:r>
          </w:p>
        </w:tc>
        <w:tc>
          <w:tcPr>
            <w:tcW w:w="4786" w:type="dxa"/>
            <w:tcBorders>
              <w:bottom w:val="single" w:color="auto" w:sz="4" w:space="0"/>
              <w:tl2br w:val="nil"/>
              <w:tr2bl w:val="nil"/>
            </w:tcBorders>
            <w:vAlign w:val="center"/>
          </w:tcPr>
          <w:p w14:paraId="5C453435">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30</w:t>
            </w:r>
          </w:p>
        </w:tc>
      </w:tr>
      <w:tr w14:paraId="3C229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bottom w:val="single" w:color="auto" w:sz="4" w:space="0"/>
              <w:tl2br w:val="nil"/>
              <w:tr2bl w:val="nil"/>
            </w:tcBorders>
            <w:vAlign w:val="center"/>
          </w:tcPr>
          <w:p w14:paraId="7F46E878">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静态坡道起步能力</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w:t>
            </w:r>
          </w:p>
        </w:tc>
        <w:tc>
          <w:tcPr>
            <w:tcW w:w="4786" w:type="dxa"/>
            <w:tcBorders>
              <w:bottom w:val="single" w:color="auto" w:sz="4" w:space="0"/>
              <w:tl2br w:val="nil"/>
              <w:tr2bl w:val="nil"/>
            </w:tcBorders>
            <w:vAlign w:val="center"/>
          </w:tcPr>
          <w:p w14:paraId="5B8CEC48">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≥25</w:t>
            </w:r>
          </w:p>
        </w:tc>
      </w:tr>
      <w:tr w14:paraId="77B34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tl2br w:val="nil"/>
              <w:tr2bl w:val="nil"/>
            </w:tcBorders>
            <w:shd w:val="clear" w:color="auto" w:fill="auto"/>
            <w:vAlign w:val="center"/>
          </w:tcPr>
          <w:p w14:paraId="5D2F40C0">
            <w:pPr>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续驶里程(工况法/等速法)km</w:t>
            </w:r>
          </w:p>
        </w:tc>
        <w:tc>
          <w:tcPr>
            <w:tcW w:w="4786" w:type="dxa"/>
            <w:tcBorders>
              <w:top w:val="single" w:color="auto" w:sz="4" w:space="0"/>
              <w:tl2br w:val="nil"/>
              <w:tr2bl w:val="nil"/>
            </w:tcBorders>
            <w:shd w:val="clear" w:color="auto" w:fill="auto"/>
            <w:vAlign w:val="center"/>
          </w:tcPr>
          <w:p w14:paraId="78D3FD8F">
            <w:pPr>
              <w:jc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45/50</w:t>
            </w:r>
          </w:p>
        </w:tc>
      </w:tr>
      <w:tr w14:paraId="2283D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vAlign w:val="center"/>
          </w:tcPr>
          <w:p w14:paraId="32F009D9">
            <w:pPr>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30-0km/h制动距离（m）</w:t>
            </w:r>
          </w:p>
        </w:tc>
        <w:tc>
          <w:tcPr>
            <w:tcW w:w="4786" w:type="dxa"/>
            <w:tcBorders>
              <w:tl2br w:val="nil"/>
              <w:tr2bl w:val="nil"/>
            </w:tcBorders>
            <w:vAlign w:val="center"/>
          </w:tcPr>
          <w:p w14:paraId="3DB6A279">
            <w:pPr>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≤5</w:t>
            </w:r>
          </w:p>
        </w:tc>
      </w:tr>
      <w:tr w14:paraId="350CC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vAlign w:val="center"/>
          </w:tcPr>
          <w:p w14:paraId="3C59299A">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能量消耗率（等速法）</w:t>
            </w:r>
          </w:p>
        </w:tc>
        <w:tc>
          <w:tcPr>
            <w:tcW w:w="4786" w:type="dxa"/>
            <w:tcBorders>
              <w:tl2br w:val="nil"/>
              <w:tr2bl w:val="nil"/>
            </w:tcBorders>
            <w:vAlign w:val="center"/>
          </w:tcPr>
          <w:p w14:paraId="38A15E77">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85</w:t>
            </w:r>
          </w:p>
        </w:tc>
      </w:tr>
      <w:tr w14:paraId="0540C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vAlign w:val="center"/>
          </w:tcPr>
          <w:p w14:paraId="32A3DEB6">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快换电池耗时（min）</w:t>
            </w:r>
          </w:p>
        </w:tc>
        <w:tc>
          <w:tcPr>
            <w:tcW w:w="4786" w:type="dxa"/>
            <w:tcBorders>
              <w:tl2br w:val="nil"/>
              <w:tr2bl w:val="nil"/>
            </w:tcBorders>
            <w:vAlign w:val="center"/>
          </w:tcPr>
          <w:p w14:paraId="2254D02D">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r>
      <w:tr w14:paraId="53A3A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vAlign w:val="center"/>
          </w:tcPr>
          <w:p w14:paraId="7A0A878D">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整备质量功率比（kW/kg）</w:t>
            </w:r>
          </w:p>
        </w:tc>
        <w:tc>
          <w:tcPr>
            <w:tcW w:w="4786" w:type="dxa"/>
            <w:tcBorders>
              <w:tl2br w:val="nil"/>
              <w:tr2bl w:val="nil"/>
            </w:tcBorders>
            <w:vAlign w:val="center"/>
          </w:tcPr>
          <w:p w14:paraId="6F5E3B6E">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 0.15</w:t>
            </w:r>
          </w:p>
        </w:tc>
      </w:tr>
      <w:tr w14:paraId="1CC41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vAlign w:val="center"/>
          </w:tcPr>
          <w:p w14:paraId="13AC63DD">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涉水通过能力（静水深，mm）</w:t>
            </w:r>
          </w:p>
        </w:tc>
        <w:tc>
          <w:tcPr>
            <w:tcW w:w="4786" w:type="dxa"/>
            <w:tcBorders>
              <w:tl2br w:val="nil"/>
              <w:tr2bl w:val="nil"/>
            </w:tcBorders>
            <w:vAlign w:val="center"/>
          </w:tcPr>
          <w:p w14:paraId="4B04B6E2">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 250</w:t>
            </w:r>
          </w:p>
        </w:tc>
      </w:tr>
      <w:tr w14:paraId="448BA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vAlign w:val="center"/>
          </w:tcPr>
          <w:p w14:paraId="296F6E5D">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最小离地间隙（mm）</w:t>
            </w:r>
          </w:p>
        </w:tc>
        <w:tc>
          <w:tcPr>
            <w:tcW w:w="4786" w:type="dxa"/>
            <w:tcBorders>
              <w:tl2br w:val="nil"/>
              <w:tr2bl w:val="nil"/>
            </w:tcBorders>
            <w:vAlign w:val="center"/>
          </w:tcPr>
          <w:p w14:paraId="09378A9B">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 220</w:t>
            </w:r>
          </w:p>
        </w:tc>
      </w:tr>
      <w:tr w14:paraId="0310A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shd w:val="clear" w:color="auto" w:fill="auto"/>
            <w:vAlign w:val="center"/>
          </w:tcPr>
          <w:p w14:paraId="302A1DEA">
            <w:pPr>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最小转弯直径（m）</w:t>
            </w:r>
          </w:p>
        </w:tc>
        <w:tc>
          <w:tcPr>
            <w:tcW w:w="4786" w:type="dxa"/>
            <w:tcBorders>
              <w:tl2br w:val="nil"/>
              <w:tr2bl w:val="nil"/>
            </w:tcBorders>
            <w:shd w:val="clear" w:color="auto" w:fill="auto"/>
            <w:vAlign w:val="center"/>
          </w:tcPr>
          <w:p w14:paraId="0218FF9B">
            <w:pPr>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 5.0</w:t>
            </w:r>
          </w:p>
        </w:tc>
      </w:tr>
      <w:tr w14:paraId="73FC6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shd w:val="clear" w:color="auto" w:fill="auto"/>
            <w:vAlign w:val="center"/>
          </w:tcPr>
          <w:p w14:paraId="3C40C464">
            <w:pPr>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接近角/离去角（°）</w:t>
            </w:r>
          </w:p>
        </w:tc>
        <w:tc>
          <w:tcPr>
            <w:tcW w:w="4786" w:type="dxa"/>
            <w:tcBorders>
              <w:tl2br w:val="nil"/>
              <w:tr2bl w:val="nil"/>
            </w:tcBorders>
            <w:shd w:val="clear" w:color="auto" w:fill="auto"/>
            <w:vAlign w:val="center"/>
          </w:tcPr>
          <w:p w14:paraId="4152F759">
            <w:pPr>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 26 / 26</w:t>
            </w:r>
          </w:p>
        </w:tc>
      </w:tr>
      <w:tr w14:paraId="6DC33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shd w:val="clear" w:color="auto" w:fill="auto"/>
            <w:vAlign w:val="center"/>
          </w:tcPr>
          <w:p w14:paraId="6CC13690">
            <w:pPr>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悬架有效行程（前/后，mm）</w:t>
            </w:r>
          </w:p>
        </w:tc>
        <w:tc>
          <w:tcPr>
            <w:tcW w:w="4786" w:type="dxa"/>
            <w:tcBorders>
              <w:tl2br w:val="nil"/>
              <w:tr2bl w:val="nil"/>
            </w:tcBorders>
            <w:shd w:val="clear" w:color="auto" w:fill="auto"/>
            <w:vAlign w:val="center"/>
          </w:tcPr>
          <w:p w14:paraId="168295B4">
            <w:pPr>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 120/120</w:t>
            </w:r>
          </w:p>
        </w:tc>
      </w:tr>
    </w:tbl>
    <w:p w14:paraId="56DD33D3">
      <w:pPr>
        <w:pStyle w:val="100"/>
      </w:pPr>
      <w:r>
        <w:rPr>
          <w:rFonts w:hint="eastAsia" w:hAnsi="宋体" w:cs="宋体"/>
          <w:color w:val="auto"/>
          <w:highlight w:val="none"/>
        </w:rPr>
        <w:t>制造商应在随车技术文件中,提供</w:t>
      </w:r>
      <w:r>
        <w:rPr>
          <w:rFonts w:hint="eastAsia"/>
          <w:color w:val="auto"/>
          <w:highlight w:val="none"/>
          <w:lang w:val="en-US" w:eastAsia="zh-CN"/>
        </w:rPr>
        <w:t>越野摩托车</w:t>
      </w:r>
      <w:r>
        <w:rPr>
          <w:rFonts w:hint="eastAsia" w:hAnsi="宋体" w:cs="宋体"/>
          <w:color w:val="auto"/>
          <w:highlight w:val="none"/>
        </w:rPr>
        <w:t>的主要技术参数及性能指标。</w:t>
      </w:r>
    </w:p>
    <w:p w14:paraId="35FE6CAC">
      <w:pPr>
        <w:pStyle w:val="83"/>
        <w:rPr>
          <w:color w:val="auto"/>
          <w:highlight w:val="none"/>
        </w:rPr>
      </w:pPr>
      <w:r>
        <w:rPr>
          <w:rFonts w:hint="eastAsia"/>
          <w:color w:val="auto"/>
          <w:highlight w:val="none"/>
        </w:rPr>
        <w:t>可靠性</w:t>
      </w:r>
    </w:p>
    <w:p w14:paraId="573279D5">
      <w:pPr>
        <w:pStyle w:val="27"/>
      </w:pPr>
      <w:r>
        <w:rPr>
          <w:rFonts w:hint="eastAsia"/>
          <w:color w:val="auto"/>
          <w:highlight w:val="none"/>
        </w:rPr>
        <w:t>可靠性要求应符合制造商提供的产品技术文件的要求。如无相关要求可按下述要求,可靠性行驶里程按GB/T 5374的规定,可靠性试验结束后试验车辆的车架等</w:t>
      </w:r>
      <w:r>
        <w:rPr>
          <w:rFonts w:hint="eastAsia"/>
          <w:color w:val="auto"/>
          <w:highlight w:val="none"/>
          <w:lang w:val="en-US" w:eastAsia="zh-CN"/>
        </w:rPr>
        <w:t>结构</w:t>
      </w:r>
      <w:r>
        <w:rPr>
          <w:rFonts w:hint="eastAsia"/>
          <w:color w:val="auto"/>
          <w:highlight w:val="none"/>
        </w:rPr>
        <w:t>件不得存在变形、开裂等损坏情况</w:t>
      </w:r>
      <w:r>
        <w:rPr>
          <w:rFonts w:hint="eastAsia"/>
          <w:color w:val="auto"/>
          <w:highlight w:val="none"/>
          <w:lang w:eastAsia="zh-CN"/>
        </w:rPr>
        <w:t>，</w:t>
      </w:r>
      <w:r>
        <w:rPr>
          <w:rFonts w:hint="eastAsia"/>
          <w:color w:val="auto"/>
          <w:highlight w:val="none"/>
          <w:lang w:val="en-US" w:eastAsia="zh-CN"/>
        </w:rPr>
        <w:t>使用3D扫描对比试验前后车辆</w:t>
      </w:r>
      <w:r>
        <w:rPr>
          <w:rFonts w:hint="eastAsia"/>
          <w:color w:val="auto"/>
          <w:highlight w:val="none"/>
        </w:rPr>
        <w:t>车架等</w:t>
      </w:r>
      <w:r>
        <w:rPr>
          <w:rFonts w:hint="eastAsia"/>
          <w:color w:val="auto"/>
          <w:highlight w:val="none"/>
          <w:lang w:val="en-US" w:eastAsia="zh-CN"/>
        </w:rPr>
        <w:t>结构</w:t>
      </w:r>
      <w:r>
        <w:rPr>
          <w:rFonts w:hint="eastAsia"/>
          <w:color w:val="auto"/>
          <w:highlight w:val="none"/>
        </w:rPr>
        <w:t>件</w:t>
      </w:r>
      <w:r>
        <w:rPr>
          <w:rFonts w:hint="eastAsia"/>
          <w:color w:val="auto"/>
          <w:highlight w:val="none"/>
          <w:lang w:val="en-US" w:eastAsia="zh-CN"/>
        </w:rPr>
        <w:t>变形量小于等于3mm</w:t>
      </w:r>
      <w:r>
        <w:rPr>
          <w:rFonts w:hint="eastAsia"/>
          <w:color w:val="auto"/>
          <w:highlight w:val="none"/>
        </w:rPr>
        <w:t>。</w:t>
      </w:r>
      <w:r>
        <w:rPr>
          <w:rFonts w:hint="eastAsia"/>
          <w:lang w:val="en-US" w:eastAsia="zh-CN"/>
        </w:rPr>
        <w:t>表2中主要性能技术指标下降不应超过技术条件所规定的5%,动力蓄电池除外。</w:t>
      </w:r>
    </w:p>
    <w:p w14:paraId="7FBCAC36">
      <w:pPr>
        <w:pStyle w:val="83"/>
        <w:rPr>
          <w:color w:val="auto"/>
          <w:highlight w:val="none"/>
        </w:rPr>
      </w:pPr>
      <w:r>
        <w:rPr>
          <w:rFonts w:hint="eastAsia"/>
          <w:color w:val="auto"/>
          <w:highlight w:val="none"/>
        </w:rPr>
        <w:t>装配质量</w:t>
      </w:r>
    </w:p>
    <w:p w14:paraId="04279CD1">
      <w:pPr>
        <w:pStyle w:val="82"/>
        <w:spacing w:before="156" w:after="156"/>
        <w:rPr>
          <w:color w:val="auto"/>
          <w:highlight w:val="none"/>
        </w:rPr>
      </w:pPr>
      <w:r>
        <w:rPr>
          <w:rFonts w:hint="eastAsia"/>
          <w:color w:val="auto"/>
          <w:highlight w:val="none"/>
        </w:rPr>
        <w:t>一般要求</w:t>
      </w:r>
    </w:p>
    <w:p w14:paraId="7EB7A183">
      <w:pPr>
        <w:pStyle w:val="141"/>
        <w:rPr>
          <w:color w:val="auto"/>
          <w:highlight w:val="none"/>
        </w:rPr>
      </w:pPr>
      <w:r>
        <w:rPr>
          <w:rFonts w:hint="eastAsia"/>
          <w:color w:val="auto"/>
          <w:highlight w:val="none"/>
        </w:rPr>
        <w:t>装配应符合产品图样及技术文件的要求，不得错装，漏装。</w:t>
      </w:r>
    </w:p>
    <w:p w14:paraId="65BC2981">
      <w:pPr>
        <w:pStyle w:val="141"/>
        <w:rPr>
          <w:color w:val="auto"/>
          <w:highlight w:val="none"/>
        </w:rPr>
      </w:pPr>
      <w:r>
        <w:rPr>
          <w:rFonts w:hint="eastAsia"/>
          <w:color w:val="auto"/>
          <w:highlight w:val="none"/>
        </w:rPr>
        <w:t>配套电动机的制造商、型号规格、功率等应与该车型技术文件(如产品标准、产品使用说明书、合格证等)的要求相符。</w:t>
      </w:r>
    </w:p>
    <w:p w14:paraId="7E913112">
      <w:pPr>
        <w:pStyle w:val="141"/>
        <w:rPr>
          <w:color w:val="auto"/>
          <w:highlight w:val="none"/>
        </w:rPr>
      </w:pPr>
      <w:r>
        <w:rPr>
          <w:rFonts w:hint="eastAsia"/>
          <w:color w:val="auto"/>
          <w:highlight w:val="none"/>
        </w:rPr>
        <w:t>润滑部位应按产品图样或技术文件的规定加注润滑剂。</w:t>
      </w:r>
    </w:p>
    <w:p w14:paraId="23147F5E">
      <w:pPr>
        <w:pStyle w:val="141"/>
        <w:rPr>
          <w:color w:val="auto"/>
          <w:highlight w:val="none"/>
        </w:rPr>
      </w:pPr>
      <w:r>
        <w:rPr>
          <w:rFonts w:hint="eastAsia"/>
          <w:color w:val="auto"/>
          <w:highlight w:val="none"/>
        </w:rPr>
        <w:t>紧固件装配应牢固可靠。重要螺栓连接的预紧力矩应符合产品图样及技术文件的规定。</w:t>
      </w:r>
    </w:p>
    <w:p w14:paraId="64670E7D">
      <w:pPr>
        <w:pStyle w:val="141"/>
        <w:rPr>
          <w:color w:val="auto"/>
          <w:highlight w:val="none"/>
        </w:rPr>
      </w:pPr>
      <w:r>
        <w:rPr>
          <w:rFonts w:hint="eastAsia"/>
          <w:color w:val="auto"/>
          <w:highlight w:val="none"/>
        </w:rPr>
        <w:t>操纵机构的运动零部件应灵活可靠，正常复位并不得受干涉。</w:t>
      </w:r>
    </w:p>
    <w:p w14:paraId="60A3CD57">
      <w:pPr>
        <w:pStyle w:val="141"/>
        <w:rPr>
          <w:color w:val="auto"/>
          <w:highlight w:val="none"/>
        </w:rPr>
      </w:pPr>
      <w:r>
        <w:rPr>
          <w:rFonts w:hint="eastAsia"/>
          <w:color w:val="auto"/>
          <w:highlight w:val="none"/>
        </w:rPr>
        <w:t>覆盖件装配应固定牢靠，不得因车辆震动而脱落。</w:t>
      </w:r>
    </w:p>
    <w:p w14:paraId="2FB8A6D8">
      <w:pPr>
        <w:pStyle w:val="82"/>
        <w:spacing w:before="156" w:after="156"/>
        <w:rPr>
          <w:color w:val="auto"/>
          <w:highlight w:val="none"/>
        </w:rPr>
      </w:pPr>
      <w:r>
        <w:rPr>
          <w:rFonts w:hint="eastAsia"/>
          <w:color w:val="auto"/>
          <w:highlight w:val="none"/>
        </w:rPr>
        <w:t>对称性和外廓尺寸</w:t>
      </w:r>
    </w:p>
    <w:p w14:paraId="59E569AF">
      <w:pPr>
        <w:pStyle w:val="141"/>
        <w:rPr>
          <w:color w:val="auto"/>
          <w:highlight w:val="none"/>
        </w:rPr>
      </w:pPr>
      <w:r>
        <w:rPr>
          <w:rFonts w:hint="eastAsia"/>
          <w:color w:val="auto"/>
          <w:highlight w:val="none"/>
        </w:rPr>
        <w:t>方向把和导流板等左右对称零部件两侧距离地面高度差不应大于10</w:t>
      </w:r>
      <w:r>
        <w:rPr>
          <w:color w:val="auto"/>
          <w:highlight w:val="none"/>
        </w:rPr>
        <w:t> </w:t>
      </w:r>
      <w:r>
        <w:rPr>
          <w:rFonts w:hint="eastAsia"/>
          <w:color w:val="auto"/>
          <w:highlight w:val="none"/>
        </w:rPr>
        <w:t>mm。</w:t>
      </w:r>
    </w:p>
    <w:p w14:paraId="121251AC">
      <w:pPr>
        <w:pStyle w:val="141"/>
        <w:rPr>
          <w:color w:val="auto"/>
          <w:highlight w:val="none"/>
        </w:rPr>
      </w:pPr>
      <w:r>
        <w:t>电动两轮摩托车主车前轮中心平面与后轮中心平面的偏差不应大于10 mm。</w:t>
      </w:r>
    </w:p>
    <w:p w14:paraId="531F5F3D">
      <w:pPr>
        <w:pStyle w:val="141"/>
        <w:rPr>
          <w:color w:val="auto"/>
          <w:highlight w:val="none"/>
        </w:rPr>
      </w:pPr>
      <w:r>
        <w:rPr>
          <w:rFonts w:hint="eastAsia"/>
          <w:color w:val="auto"/>
          <w:highlight w:val="none"/>
        </w:rPr>
        <w:t>整车外廓尺寸公差不应大于名义尺寸的±3</w:t>
      </w:r>
      <w:r>
        <w:rPr>
          <w:color w:val="auto"/>
          <w:highlight w:val="none"/>
        </w:rPr>
        <w:t> </w:t>
      </w:r>
      <w:r>
        <w:rPr>
          <w:rFonts w:hint="eastAsia"/>
          <w:color w:val="auto"/>
          <w:highlight w:val="none"/>
        </w:rPr>
        <w:t>％。</w:t>
      </w:r>
    </w:p>
    <w:p w14:paraId="759579E1">
      <w:pPr>
        <w:pStyle w:val="82"/>
        <w:spacing w:before="156" w:after="156"/>
        <w:rPr>
          <w:color w:val="auto"/>
          <w:highlight w:val="none"/>
        </w:rPr>
      </w:pPr>
      <w:r>
        <w:rPr>
          <w:rFonts w:hint="eastAsia"/>
          <w:color w:val="auto"/>
          <w:highlight w:val="none"/>
        </w:rPr>
        <w:t>动力蓄电池安装</w:t>
      </w:r>
    </w:p>
    <w:p w14:paraId="02719AF6">
      <w:pPr>
        <w:pStyle w:val="27"/>
        <w:rPr>
          <w:color w:val="auto"/>
          <w:highlight w:val="none"/>
        </w:rPr>
      </w:pPr>
      <w:r>
        <w:rPr>
          <w:rFonts w:hint="eastAsia"/>
          <w:color w:val="auto"/>
          <w:highlight w:val="none"/>
        </w:rPr>
        <w:t>动力蓄电池的安装应符合GB 24155的规定。</w:t>
      </w:r>
    </w:p>
    <w:p w14:paraId="5B528A56">
      <w:pPr>
        <w:pStyle w:val="82"/>
        <w:spacing w:before="156" w:after="156"/>
        <w:rPr>
          <w:color w:val="auto"/>
          <w:highlight w:val="none"/>
        </w:rPr>
      </w:pPr>
      <w:r>
        <w:rPr>
          <w:rFonts w:hint="eastAsia"/>
          <w:color w:val="auto"/>
          <w:highlight w:val="none"/>
        </w:rPr>
        <w:t>转向机构装配</w:t>
      </w:r>
    </w:p>
    <w:p w14:paraId="0891DD37">
      <w:pPr>
        <w:pStyle w:val="141"/>
        <w:rPr>
          <w:color w:val="auto"/>
          <w:highlight w:val="none"/>
        </w:rPr>
      </w:pPr>
      <w:r>
        <w:rPr>
          <w:rFonts w:hint="eastAsia"/>
          <w:color w:val="auto"/>
          <w:highlight w:val="none"/>
        </w:rPr>
        <w:t>车辆应设置转向限位装置。方向把转动应灵活,无</w:t>
      </w:r>
      <w:r>
        <w:rPr>
          <w:rFonts w:hint="eastAsia"/>
          <w:color w:val="auto"/>
          <w:highlight w:val="none"/>
          <w:lang w:val="en-US" w:eastAsia="zh-CN"/>
        </w:rPr>
        <w:t>卡</w:t>
      </w:r>
      <w:r>
        <w:rPr>
          <w:rFonts w:hint="eastAsia"/>
          <w:color w:val="auto"/>
          <w:highlight w:val="none"/>
        </w:rPr>
        <w:t>滞现象，转动至极限位置时,不得与其他部件发生干涉。方向柱应无轴向窜动现象。</w:t>
      </w:r>
    </w:p>
    <w:p w14:paraId="5EE03489">
      <w:pPr>
        <w:pStyle w:val="141"/>
        <w:rPr>
          <w:color w:val="auto"/>
          <w:highlight w:val="none"/>
        </w:rPr>
      </w:pPr>
      <w:r>
        <w:rPr>
          <w:rFonts w:hint="eastAsia"/>
          <w:color w:val="auto"/>
          <w:highlight w:val="none"/>
        </w:rPr>
        <w:t>操纵拉索、仪表软轴、电缆、制动软管等长度应有适当裕度，不得在方向把转动时被夹持，不应影响相关零件的正常工作。</w:t>
      </w:r>
    </w:p>
    <w:p w14:paraId="3D9B2660">
      <w:pPr>
        <w:pStyle w:val="82"/>
        <w:spacing w:before="156" w:after="156"/>
        <w:rPr>
          <w:color w:val="auto"/>
          <w:highlight w:val="none"/>
        </w:rPr>
      </w:pPr>
      <w:r>
        <w:rPr>
          <w:rFonts w:hint="eastAsia"/>
          <w:color w:val="auto"/>
          <w:highlight w:val="none"/>
        </w:rPr>
        <w:t>制动机构装配</w:t>
      </w:r>
    </w:p>
    <w:p w14:paraId="041C07DF">
      <w:pPr>
        <w:pStyle w:val="27"/>
        <w:rPr>
          <w:color w:val="auto"/>
          <w:highlight w:val="none"/>
        </w:rPr>
      </w:pPr>
      <w:r>
        <w:rPr>
          <w:rFonts w:hint="eastAsia"/>
          <w:color w:val="auto"/>
          <w:highlight w:val="none"/>
          <w:lang w:val="en-US" w:eastAsia="zh-CN"/>
        </w:rPr>
        <w:t>制动机构装配应符合GB/T 24158—2018中5.5.5的规定。</w:t>
      </w:r>
    </w:p>
    <w:p w14:paraId="4266A511">
      <w:pPr>
        <w:pStyle w:val="82"/>
        <w:spacing w:before="156" w:after="156"/>
        <w:rPr>
          <w:color w:val="auto"/>
          <w:highlight w:val="none"/>
        </w:rPr>
      </w:pPr>
      <w:r>
        <w:rPr>
          <w:rFonts w:hint="eastAsia"/>
          <w:color w:val="auto"/>
          <w:highlight w:val="none"/>
        </w:rPr>
        <w:t>传动机构装配</w:t>
      </w:r>
    </w:p>
    <w:p w14:paraId="76D759B6">
      <w:pPr>
        <w:pStyle w:val="141"/>
        <w:rPr>
          <w:color w:val="auto"/>
          <w:highlight w:val="none"/>
        </w:rPr>
      </w:pPr>
      <w:r>
        <w:rPr>
          <w:rFonts w:hint="eastAsia"/>
          <w:color w:val="auto"/>
          <w:highlight w:val="none"/>
        </w:rPr>
        <w:t>电动机安装应牢固可靠，正常工作，运行时不应有异响、抖动现象。</w:t>
      </w:r>
    </w:p>
    <w:p w14:paraId="3E998178">
      <w:pPr>
        <w:pStyle w:val="141"/>
        <w:rPr>
          <w:color w:val="auto"/>
          <w:highlight w:val="none"/>
        </w:rPr>
      </w:pPr>
      <w:r>
        <w:rPr>
          <w:rFonts w:hint="eastAsia"/>
          <w:color w:val="auto"/>
          <w:highlight w:val="none"/>
        </w:rPr>
        <w:t>传动链条应运转灵活，松紧适宜，无异常声响。其下垂度应符合产品图样或技术文件的规定。</w:t>
      </w:r>
    </w:p>
    <w:p w14:paraId="2208B73B">
      <w:pPr>
        <w:pStyle w:val="141"/>
        <w:rPr>
          <w:color w:val="auto"/>
          <w:highlight w:val="none"/>
        </w:rPr>
      </w:pPr>
      <w:r>
        <w:rPr>
          <w:rFonts w:hint="eastAsia"/>
          <w:color w:val="auto"/>
          <w:highlight w:val="none"/>
        </w:rPr>
        <w:t>带传动机构的传动带应运转灵活，无卡滞和打滑松脱现象。</w:t>
      </w:r>
    </w:p>
    <w:p w14:paraId="436A15B8">
      <w:pPr>
        <w:pStyle w:val="141"/>
        <w:rPr>
          <w:color w:val="auto"/>
          <w:highlight w:val="none"/>
        </w:rPr>
      </w:pPr>
      <w:r>
        <w:rPr>
          <w:rFonts w:hint="eastAsia"/>
          <w:color w:val="auto"/>
          <w:highlight w:val="none"/>
        </w:rPr>
        <w:t>轴传动机构的传动轴应运转灵活，无异常声响。</w:t>
      </w:r>
    </w:p>
    <w:p w14:paraId="57D01207">
      <w:pPr>
        <w:pStyle w:val="82"/>
        <w:spacing w:before="156" w:after="156"/>
        <w:rPr>
          <w:color w:val="auto"/>
          <w:highlight w:val="none"/>
        </w:rPr>
      </w:pPr>
      <w:r>
        <w:rPr>
          <w:rFonts w:hint="eastAsia"/>
          <w:color w:val="auto"/>
          <w:highlight w:val="none"/>
        </w:rPr>
        <w:t>行驶机构装配</w:t>
      </w:r>
    </w:p>
    <w:p w14:paraId="64507CBE">
      <w:pPr>
        <w:pStyle w:val="141"/>
        <w:rPr>
          <w:color w:val="auto"/>
          <w:highlight w:val="none"/>
        </w:rPr>
      </w:pPr>
      <w:r>
        <w:rPr>
          <w:rFonts w:hint="eastAsia"/>
          <w:color w:val="auto"/>
          <w:highlight w:val="none"/>
        </w:rPr>
        <w:t>车轮总成中轮</w:t>
      </w:r>
      <w:r>
        <w:rPr>
          <w:rFonts w:hint="eastAsia"/>
          <w:color w:val="auto"/>
          <w:highlight w:val="none"/>
          <w:lang w:val="en-US" w:eastAsia="zh-CN"/>
        </w:rPr>
        <w:t>辋</w:t>
      </w:r>
      <w:r>
        <w:rPr>
          <w:rFonts w:hint="eastAsia"/>
          <w:color w:val="auto"/>
          <w:highlight w:val="none"/>
        </w:rPr>
        <w:t>的端面圆向跳动和径向跳动均不应大于3</w:t>
      </w:r>
      <w:r>
        <w:rPr>
          <w:color w:val="auto"/>
          <w:highlight w:val="none"/>
        </w:rPr>
        <w:t> </w:t>
      </w:r>
      <w:r>
        <w:rPr>
          <w:rFonts w:hint="eastAsia"/>
          <w:color w:val="auto"/>
          <w:highlight w:val="none"/>
        </w:rPr>
        <w:t>mm。</w:t>
      </w:r>
    </w:p>
    <w:p w14:paraId="7ECE7BEE">
      <w:pPr>
        <w:pStyle w:val="141"/>
        <w:rPr>
          <w:color w:val="auto"/>
          <w:highlight w:val="none"/>
        </w:rPr>
      </w:pPr>
      <w:r>
        <w:rPr>
          <w:rFonts w:hint="eastAsia"/>
          <w:color w:val="auto"/>
          <w:highlight w:val="none"/>
        </w:rPr>
        <w:t>轮胎型号标记应符合GB 518的规定，轮胎胎冠上花纹的深度应大于或等于</w:t>
      </w:r>
      <w:r>
        <w:rPr>
          <w:rFonts w:hint="eastAsia"/>
          <w:color w:val="auto"/>
          <w:highlight w:val="none"/>
          <w:lang w:val="en-US" w:eastAsia="zh-CN"/>
        </w:rPr>
        <w:t>7</w:t>
      </w:r>
      <w:r>
        <w:rPr>
          <w:rFonts w:hint="eastAsia"/>
          <w:color w:val="auto"/>
          <w:highlight w:val="none"/>
        </w:rPr>
        <w:t>mm。</w:t>
      </w:r>
    </w:p>
    <w:p w14:paraId="527563C7">
      <w:pPr>
        <w:pStyle w:val="141"/>
        <w:rPr>
          <w:color w:val="auto"/>
          <w:highlight w:val="none"/>
        </w:rPr>
      </w:pPr>
      <w:r>
        <w:rPr>
          <w:rFonts w:hint="eastAsia"/>
          <w:color w:val="auto"/>
          <w:highlight w:val="none"/>
        </w:rPr>
        <w:t>辐板式和辐条式车轮紧固件完整齐全，应按技术文件规定的预紧力矩紧固。</w:t>
      </w:r>
    </w:p>
    <w:p w14:paraId="7C81AF1E">
      <w:pPr>
        <w:pStyle w:val="141"/>
        <w:rPr>
          <w:color w:val="auto"/>
          <w:highlight w:val="none"/>
        </w:rPr>
      </w:pPr>
      <w:r>
        <w:rPr>
          <w:rFonts w:hint="eastAsia"/>
          <w:color w:val="auto"/>
          <w:highlight w:val="none"/>
        </w:rPr>
        <w:t>行驶中减震器不得卡滞或有异常声响，左右减震器弹簧的刚度应保持基本一致。</w:t>
      </w:r>
    </w:p>
    <w:p w14:paraId="16280C56">
      <w:pPr>
        <w:pStyle w:val="82"/>
        <w:spacing w:before="156" w:after="156"/>
        <w:rPr>
          <w:color w:val="auto"/>
          <w:highlight w:val="none"/>
        </w:rPr>
      </w:pPr>
      <w:r>
        <w:rPr>
          <w:rFonts w:hint="eastAsia"/>
          <w:color w:val="auto"/>
          <w:highlight w:val="none"/>
        </w:rPr>
        <w:t>仪表和电气设备装配</w:t>
      </w:r>
    </w:p>
    <w:p w14:paraId="1ECB64EB">
      <w:pPr>
        <w:pStyle w:val="27"/>
        <w:rPr>
          <w:color w:val="auto"/>
          <w:highlight w:val="none"/>
        </w:rPr>
      </w:pPr>
      <w:r>
        <w:rPr>
          <w:rFonts w:hint="eastAsia"/>
          <w:color w:val="auto"/>
          <w:highlight w:val="none"/>
          <w:lang w:val="en-US" w:eastAsia="zh-CN"/>
        </w:rPr>
        <w:t>制动机构装配应符合GB/T 24158—2018中5.5.8的规定。</w:t>
      </w:r>
    </w:p>
    <w:p w14:paraId="7BEB5E03">
      <w:pPr>
        <w:pStyle w:val="82"/>
        <w:spacing w:before="156" w:after="156"/>
        <w:rPr>
          <w:color w:val="auto"/>
          <w:highlight w:val="none"/>
        </w:rPr>
      </w:pPr>
      <w:r>
        <w:rPr>
          <w:rFonts w:hint="eastAsia"/>
          <w:color w:val="auto"/>
          <w:highlight w:val="none"/>
        </w:rPr>
        <w:t>安全防护装置装配</w:t>
      </w:r>
    </w:p>
    <w:p w14:paraId="0F82A6B5">
      <w:pPr>
        <w:pStyle w:val="27"/>
        <w:rPr>
          <w:color w:val="auto"/>
          <w:highlight w:val="none"/>
        </w:rPr>
      </w:pPr>
      <w:r>
        <w:rPr>
          <w:rFonts w:hint="eastAsia"/>
          <w:color w:val="auto"/>
          <w:highlight w:val="none"/>
        </w:rPr>
        <w:t>防盗装置安装应牢固可靠，并能有效锁止。</w:t>
      </w:r>
    </w:p>
    <w:p w14:paraId="5FC211EE">
      <w:pPr>
        <w:pStyle w:val="83"/>
        <w:rPr>
          <w:color w:val="auto"/>
          <w:highlight w:val="none"/>
        </w:rPr>
      </w:pPr>
      <w:r>
        <w:rPr>
          <w:rFonts w:hint="eastAsia"/>
          <w:color w:val="auto"/>
          <w:highlight w:val="none"/>
        </w:rPr>
        <w:t>外观质量</w:t>
      </w:r>
    </w:p>
    <w:p w14:paraId="3336BA25">
      <w:pPr>
        <w:pStyle w:val="127"/>
        <w:rPr>
          <w:color w:val="auto"/>
          <w:highlight w:val="none"/>
        </w:rPr>
      </w:pPr>
      <w:r>
        <w:rPr>
          <w:rFonts w:hint="eastAsia"/>
          <w:color w:val="auto"/>
          <w:highlight w:val="none"/>
          <w:lang w:val="en-US" w:eastAsia="zh-CN"/>
        </w:rPr>
        <w:t>越野摩托车</w:t>
      </w:r>
      <w:r>
        <w:rPr>
          <w:rFonts w:hint="eastAsia"/>
          <w:color w:val="auto"/>
          <w:highlight w:val="none"/>
        </w:rPr>
        <w:t>外观应整洁，各零部件完好无缺损,连接件连接应牢固。</w:t>
      </w:r>
    </w:p>
    <w:p w14:paraId="558FD962">
      <w:pPr>
        <w:pStyle w:val="127"/>
        <w:rPr>
          <w:color w:val="auto"/>
          <w:highlight w:val="none"/>
        </w:rPr>
      </w:pPr>
      <w:r>
        <w:rPr>
          <w:rFonts w:hint="eastAsia"/>
          <w:color w:val="auto"/>
          <w:highlight w:val="none"/>
        </w:rPr>
        <w:t>覆盖件应平整合缝、间隙均匀,无明显错位。涂层表面光滑、平整、色泽均匀，结合牢固、外露表面不应有明显的麻坑、斑点、杂色、裂痕、气泡、划伤、流痕现象。非外露表面不应有露底或明显的流痕、裂痕现象。</w:t>
      </w:r>
    </w:p>
    <w:p w14:paraId="0A936A6F">
      <w:pPr>
        <w:pStyle w:val="127"/>
        <w:rPr>
          <w:color w:val="auto"/>
          <w:highlight w:val="none"/>
        </w:rPr>
      </w:pPr>
      <w:r>
        <w:rPr>
          <w:rFonts w:hint="eastAsia"/>
          <w:color w:val="auto"/>
          <w:highlight w:val="none"/>
        </w:rPr>
        <w:t>镀层表面色泽均匀，不应有烧黑、鼓泡,剥落、锈蚀、露底、毛刺或划伤现象。</w:t>
      </w:r>
    </w:p>
    <w:p w14:paraId="5466D208">
      <w:pPr>
        <w:pStyle w:val="127"/>
        <w:rPr>
          <w:color w:val="auto"/>
          <w:highlight w:val="none"/>
        </w:rPr>
      </w:pPr>
      <w:r>
        <w:rPr>
          <w:rFonts w:hint="eastAsia"/>
          <w:color w:val="auto"/>
          <w:highlight w:val="none"/>
        </w:rPr>
        <w:t>塑料件表面色泽均匀，无明显划伤、可马不平。</w:t>
      </w:r>
    </w:p>
    <w:p w14:paraId="07944F1B">
      <w:pPr>
        <w:pStyle w:val="127"/>
        <w:rPr>
          <w:color w:val="auto"/>
          <w:highlight w:val="none"/>
        </w:rPr>
      </w:pPr>
      <w:r>
        <w:rPr>
          <w:rFonts w:hint="eastAsia"/>
          <w:color w:val="auto"/>
          <w:highlight w:val="none"/>
        </w:rPr>
        <w:t>金属结构件焊缝应平整，均匀，表面不应有漏焊，虚焊、夹渣、裂纹、气孔及飞溅物等缺陷,如有高出工作表面的焊瘤、煤渣须修磨平整。</w:t>
      </w:r>
    </w:p>
    <w:p w14:paraId="5FAB7C40">
      <w:pPr>
        <w:pStyle w:val="127"/>
        <w:rPr>
          <w:color w:val="auto"/>
          <w:highlight w:val="none"/>
        </w:rPr>
      </w:pPr>
      <w:r>
        <w:rPr>
          <w:rFonts w:hint="eastAsia"/>
          <w:color w:val="auto"/>
          <w:highlight w:val="none"/>
        </w:rPr>
        <w:t>座垫应无凹陷现象，表面光滑，无皱折、破损。</w:t>
      </w:r>
    </w:p>
    <w:p w14:paraId="02DD30A7">
      <w:pPr>
        <w:pStyle w:val="127"/>
        <w:rPr>
          <w:color w:val="auto"/>
          <w:highlight w:val="none"/>
        </w:rPr>
      </w:pPr>
      <w:r>
        <w:rPr>
          <w:rFonts w:hint="eastAsia"/>
          <w:color w:val="auto"/>
          <w:highlight w:val="none"/>
        </w:rPr>
        <w:t>贴花应平整、光滑，无气泡、翘边或明显的错位。</w:t>
      </w:r>
    </w:p>
    <w:p w14:paraId="7AA029FE">
      <w:pPr>
        <w:pStyle w:val="56"/>
        <w:rPr>
          <w:color w:val="auto"/>
          <w:highlight w:val="none"/>
        </w:rPr>
      </w:pPr>
      <w:bookmarkStart w:id="96" w:name="_Toc31784"/>
      <w:bookmarkStart w:id="97" w:name="_Toc22821"/>
      <w:bookmarkStart w:id="98" w:name="_Toc11415"/>
      <w:bookmarkStart w:id="99" w:name="_Toc25852"/>
      <w:bookmarkStart w:id="100" w:name="_Toc29824"/>
      <w:bookmarkStart w:id="101" w:name="_Toc23311"/>
      <w:bookmarkStart w:id="102" w:name="_Toc18200"/>
      <w:bookmarkStart w:id="103" w:name="_Toc6911"/>
      <w:r>
        <w:rPr>
          <w:rFonts w:hint="eastAsia"/>
          <w:color w:val="auto"/>
          <w:highlight w:val="none"/>
        </w:rPr>
        <w:t>试验方法</w:t>
      </w:r>
      <w:bookmarkEnd w:id="96"/>
      <w:bookmarkEnd w:id="97"/>
      <w:bookmarkEnd w:id="98"/>
      <w:bookmarkEnd w:id="99"/>
      <w:bookmarkEnd w:id="100"/>
      <w:bookmarkEnd w:id="101"/>
      <w:bookmarkEnd w:id="102"/>
      <w:bookmarkEnd w:id="103"/>
    </w:p>
    <w:p w14:paraId="6F3C4791">
      <w:pPr>
        <w:pStyle w:val="83"/>
        <w:rPr>
          <w:color w:val="auto"/>
          <w:highlight w:val="none"/>
        </w:rPr>
      </w:pPr>
      <w:r>
        <w:rPr>
          <w:rFonts w:hint="eastAsia"/>
          <w:color w:val="auto"/>
          <w:highlight w:val="none"/>
          <w:lang w:val="en-US" w:eastAsia="zh-CN"/>
        </w:rPr>
        <w:t>车辆识别代号（VIN）</w:t>
      </w:r>
    </w:p>
    <w:p w14:paraId="4B8FB177">
      <w:pPr>
        <w:pStyle w:val="27"/>
        <w:rPr>
          <w:rFonts w:hint="default"/>
          <w:lang w:val="en-US"/>
        </w:rPr>
      </w:pPr>
      <w:r>
        <w:rPr>
          <w:rFonts w:hint="eastAsia"/>
          <w:color w:val="auto"/>
          <w:highlight w:val="none"/>
          <w:lang w:val="en-US" w:eastAsia="zh-CN"/>
        </w:rPr>
        <w:t>在自然光或等效光源下，采用目视方法检查。</w:t>
      </w:r>
    </w:p>
    <w:p w14:paraId="51EF3A2E">
      <w:pPr>
        <w:pStyle w:val="83"/>
        <w:rPr>
          <w:color w:val="auto"/>
          <w:highlight w:val="none"/>
        </w:rPr>
      </w:pPr>
      <w:r>
        <w:rPr>
          <w:rFonts w:hint="eastAsia"/>
          <w:color w:val="auto"/>
          <w:highlight w:val="none"/>
        </w:rPr>
        <w:t>车辆</w:t>
      </w:r>
      <w:r>
        <w:rPr>
          <w:rFonts w:hint="eastAsia"/>
          <w:color w:val="auto"/>
          <w:highlight w:val="none"/>
          <w:lang w:val="en-US" w:eastAsia="zh-CN"/>
        </w:rPr>
        <w:t>铭牌</w:t>
      </w:r>
    </w:p>
    <w:p w14:paraId="6C72C9D1">
      <w:pPr>
        <w:pStyle w:val="27"/>
      </w:pPr>
      <w:r>
        <w:rPr>
          <w:rFonts w:hint="eastAsia"/>
          <w:color w:val="auto"/>
          <w:highlight w:val="none"/>
          <w:lang w:val="en-US" w:eastAsia="zh-CN"/>
        </w:rPr>
        <w:t>采用目视方法检查。</w:t>
      </w:r>
    </w:p>
    <w:p w14:paraId="6A2DDB91">
      <w:pPr>
        <w:pStyle w:val="83"/>
        <w:rPr>
          <w:color w:val="auto"/>
          <w:highlight w:val="none"/>
        </w:rPr>
      </w:pPr>
      <w:r>
        <w:rPr>
          <w:rFonts w:hint="eastAsia"/>
          <w:color w:val="auto"/>
          <w:highlight w:val="none"/>
          <w:lang w:val="en-US" w:eastAsia="zh-CN"/>
        </w:rPr>
        <w:t>外廓尺寸</w:t>
      </w:r>
    </w:p>
    <w:p w14:paraId="3E13E8B8">
      <w:pPr>
        <w:pStyle w:val="27"/>
        <w:rPr>
          <w:rFonts w:hint="eastAsia" w:eastAsia="宋体"/>
          <w:lang w:eastAsia="zh-CN"/>
        </w:rPr>
      </w:pPr>
      <w:r>
        <w:rPr>
          <w:rFonts w:hint="eastAsia"/>
          <w:lang w:val="en-US" w:eastAsia="zh-CN"/>
        </w:rPr>
        <w:t>外廓尺寸</w:t>
      </w:r>
      <w:r>
        <w:rPr>
          <w:rFonts w:hint="eastAsia"/>
        </w:rPr>
        <w:t>按GB/T</w:t>
      </w:r>
      <w:r>
        <w:rPr>
          <w:rFonts w:hint="eastAsia"/>
          <w:lang w:val="en-US" w:eastAsia="zh-CN"/>
        </w:rPr>
        <w:t xml:space="preserve"> </w:t>
      </w:r>
      <w:r>
        <w:rPr>
          <w:rFonts w:hint="eastAsia"/>
        </w:rPr>
        <w:t>5373规定的方法测定</w:t>
      </w:r>
      <w:r>
        <w:rPr>
          <w:rFonts w:hint="eastAsia"/>
          <w:lang w:eastAsia="zh-CN"/>
        </w:rPr>
        <w:t>。</w:t>
      </w:r>
    </w:p>
    <w:p w14:paraId="1834811B">
      <w:pPr>
        <w:pStyle w:val="83"/>
        <w:rPr>
          <w:color w:val="auto"/>
          <w:highlight w:val="none"/>
        </w:rPr>
      </w:pPr>
      <w:r>
        <w:rPr>
          <w:rFonts w:hint="eastAsia"/>
          <w:color w:val="auto"/>
          <w:highlight w:val="none"/>
          <w:lang w:val="en-US" w:eastAsia="zh-CN"/>
        </w:rPr>
        <w:t>质量参数</w:t>
      </w:r>
    </w:p>
    <w:p w14:paraId="1FCEDB17">
      <w:pPr>
        <w:pStyle w:val="27"/>
        <w:rPr>
          <w:rFonts w:hint="default" w:eastAsia="宋体"/>
          <w:lang w:val="en-US" w:eastAsia="zh-CN"/>
        </w:rPr>
      </w:pPr>
      <w:r>
        <w:rPr>
          <w:rFonts w:hint="eastAsia"/>
          <w:lang w:val="en-US" w:eastAsia="zh-CN"/>
        </w:rPr>
        <w:t>质量参数按GB/T 5373规定的方法测定。</w:t>
      </w:r>
    </w:p>
    <w:p w14:paraId="6D77DF5F">
      <w:pPr>
        <w:pStyle w:val="83"/>
        <w:rPr>
          <w:color w:val="auto"/>
          <w:highlight w:val="none"/>
        </w:rPr>
      </w:pPr>
      <w:r>
        <w:rPr>
          <w:rFonts w:hint="eastAsia"/>
          <w:color w:val="auto"/>
          <w:highlight w:val="none"/>
          <w:lang w:val="en-US" w:eastAsia="zh-CN"/>
        </w:rPr>
        <w:t>紧急断电装置</w:t>
      </w:r>
    </w:p>
    <w:p w14:paraId="3C4A5803">
      <w:pPr>
        <w:pStyle w:val="27"/>
        <w:autoSpaceDE/>
        <w:autoSpaceDN/>
        <w:rPr>
          <w:rFonts w:hint="default"/>
          <w:color w:val="auto"/>
          <w:highlight w:val="none"/>
          <w:lang w:val="en-US"/>
        </w:rPr>
      </w:pPr>
      <w:r>
        <w:rPr>
          <w:rFonts w:hint="eastAsia"/>
          <w:color w:val="auto"/>
          <w:highlight w:val="none"/>
          <w:lang w:val="en-US" w:eastAsia="zh-CN"/>
        </w:rPr>
        <w:t>紧急断电装置按照附件A中规定的方法测试</w:t>
      </w:r>
      <w:r>
        <w:rPr>
          <w:rFonts w:hint="eastAsia"/>
          <w:color w:val="auto"/>
          <w:highlight w:val="none"/>
        </w:rPr>
        <w:t>。</w:t>
      </w:r>
    </w:p>
    <w:p w14:paraId="5196AE29">
      <w:pPr>
        <w:pStyle w:val="83"/>
        <w:rPr>
          <w:color w:val="auto"/>
          <w:highlight w:val="none"/>
        </w:rPr>
      </w:pPr>
      <w:r>
        <w:rPr>
          <w:rFonts w:hint="eastAsia"/>
          <w:color w:val="auto"/>
          <w:highlight w:val="none"/>
        </w:rPr>
        <w:t>特殊安全</w:t>
      </w:r>
    </w:p>
    <w:p w14:paraId="1CA4315D">
      <w:pPr>
        <w:pStyle w:val="27"/>
        <w:rPr>
          <w:color w:val="auto"/>
          <w:highlight w:val="none"/>
        </w:rPr>
      </w:pPr>
      <w:r>
        <w:rPr>
          <w:rFonts w:hint="eastAsia"/>
          <w:color w:val="auto"/>
          <w:highlight w:val="none"/>
        </w:rPr>
        <w:t>安全要求按照GB 24155规定的方法测试。</w:t>
      </w:r>
    </w:p>
    <w:p w14:paraId="620687C9">
      <w:pPr>
        <w:pStyle w:val="83"/>
        <w:rPr>
          <w:color w:val="auto"/>
          <w:highlight w:val="none"/>
        </w:rPr>
      </w:pPr>
      <w:r>
        <w:rPr>
          <w:rFonts w:hint="eastAsia"/>
          <w:color w:val="auto"/>
          <w:highlight w:val="none"/>
        </w:rPr>
        <w:t>转向装置</w:t>
      </w:r>
    </w:p>
    <w:p w14:paraId="2F942368">
      <w:pPr>
        <w:pStyle w:val="27"/>
        <w:rPr>
          <w:color w:val="auto"/>
          <w:highlight w:val="none"/>
        </w:rPr>
      </w:pPr>
      <w:r>
        <w:t>转向轴荷比按本标准6.9的规定检查。</w:t>
      </w:r>
    </w:p>
    <w:p w14:paraId="3D039C15">
      <w:pPr>
        <w:pStyle w:val="83"/>
        <w:rPr>
          <w:color w:val="auto"/>
          <w:highlight w:val="none"/>
        </w:rPr>
      </w:pPr>
      <w:r>
        <w:rPr>
          <w:rFonts w:hint="eastAsia"/>
          <w:color w:val="auto"/>
          <w:highlight w:val="none"/>
          <w:lang w:val="en-US" w:eastAsia="zh-CN"/>
        </w:rPr>
        <w:t>乘坐</w:t>
      </w:r>
    </w:p>
    <w:p w14:paraId="500C2885">
      <w:pPr>
        <w:pStyle w:val="27"/>
        <w:rPr>
          <w:rFonts w:hint="eastAsia"/>
          <w:color w:val="auto"/>
          <w:highlight w:val="none"/>
          <w:lang w:val="en-US"/>
        </w:rPr>
      </w:pPr>
      <w:r>
        <w:rPr>
          <w:rFonts w:hint="eastAsia"/>
          <w:color w:val="auto"/>
          <w:highlight w:val="none"/>
          <w:lang w:val="en-US" w:eastAsia="zh-CN"/>
        </w:rPr>
        <w:t>坐垫长度采用精度不小于1mm的钢尺或卷尺进行测定。</w:t>
      </w:r>
    </w:p>
    <w:p w14:paraId="51E91443">
      <w:pPr>
        <w:pStyle w:val="83"/>
        <w:rPr>
          <w:color w:val="auto"/>
          <w:highlight w:val="none"/>
        </w:rPr>
      </w:pPr>
      <w:r>
        <w:rPr>
          <w:rFonts w:hint="eastAsia"/>
          <w:color w:val="auto"/>
          <w:highlight w:val="none"/>
        </w:rPr>
        <w:t>车速表</w:t>
      </w:r>
    </w:p>
    <w:p w14:paraId="75BB27BA">
      <w:pPr>
        <w:pStyle w:val="27"/>
        <w:rPr>
          <w:color w:val="auto"/>
          <w:highlight w:val="none"/>
        </w:rPr>
      </w:pPr>
      <w:r>
        <w:t>车速表准确度按GB/T 37338规定的方法检验。</w:t>
      </w:r>
    </w:p>
    <w:p w14:paraId="27EFFF29">
      <w:pPr>
        <w:pStyle w:val="83"/>
        <w:rPr>
          <w:color w:val="auto"/>
          <w:highlight w:val="none"/>
        </w:rPr>
      </w:pPr>
      <w:r>
        <w:rPr>
          <w:rFonts w:hint="eastAsia"/>
          <w:color w:val="auto"/>
          <w:highlight w:val="none"/>
        </w:rPr>
        <w:t>操纵件、指示器及信号装置的图形符号</w:t>
      </w:r>
    </w:p>
    <w:p w14:paraId="3D1C93A6">
      <w:pPr>
        <w:pStyle w:val="127"/>
        <w:rPr>
          <w:color w:val="auto"/>
          <w:highlight w:val="none"/>
        </w:rPr>
      </w:pPr>
      <w:r>
        <w:rPr>
          <w:rFonts w:hint="eastAsia"/>
          <w:color w:val="auto"/>
          <w:highlight w:val="none"/>
        </w:rPr>
        <w:t>按GB 15365的规定核对操纵件指示器及信号装置的图形符号。</w:t>
      </w:r>
    </w:p>
    <w:p w14:paraId="0C591349">
      <w:pPr>
        <w:pStyle w:val="127"/>
        <w:rPr>
          <w:color w:val="auto"/>
          <w:highlight w:val="none"/>
        </w:rPr>
      </w:pPr>
      <w:r>
        <w:rPr>
          <w:rFonts w:hint="eastAsia"/>
          <w:color w:val="auto"/>
          <w:highlight w:val="none"/>
        </w:rPr>
        <w:t>目测电源指示灯。</w:t>
      </w:r>
    </w:p>
    <w:p w14:paraId="5045920A">
      <w:pPr>
        <w:pStyle w:val="127"/>
        <w:rPr>
          <w:color w:val="auto"/>
          <w:highlight w:val="none"/>
        </w:rPr>
      </w:pPr>
      <w:r>
        <w:rPr>
          <w:rFonts w:hint="eastAsia"/>
          <w:color w:val="auto"/>
          <w:highlight w:val="none"/>
        </w:rPr>
        <w:t>按GB/T 24157相应规定检查蓄电池剩余电能指示装置。</w:t>
      </w:r>
    </w:p>
    <w:p w14:paraId="42EC8E64">
      <w:pPr>
        <w:pStyle w:val="83"/>
        <w:rPr>
          <w:color w:val="auto"/>
          <w:highlight w:val="none"/>
        </w:rPr>
      </w:pPr>
      <w:r>
        <w:rPr>
          <w:rFonts w:hint="eastAsia"/>
          <w:color w:val="auto"/>
          <w:highlight w:val="none"/>
          <w:lang w:val="en-US" w:eastAsia="zh-CN"/>
        </w:rPr>
        <w:t>喇叭</w:t>
      </w:r>
    </w:p>
    <w:p w14:paraId="2B8A4528">
      <w:pPr>
        <w:pStyle w:val="27"/>
      </w:pPr>
      <w:r>
        <w:rPr>
          <w:rFonts w:hint="eastAsia"/>
        </w:rPr>
        <w:t>喇叭性能按GB</w:t>
      </w:r>
      <w:r>
        <w:rPr>
          <w:rFonts w:hint="eastAsia"/>
          <w:lang w:val="en-US" w:eastAsia="zh-CN"/>
        </w:rPr>
        <w:t xml:space="preserve"> </w:t>
      </w:r>
      <w:r>
        <w:rPr>
          <w:rFonts w:hint="eastAsia"/>
        </w:rPr>
        <w:t>15742规定的方法测试,喇叭声级按GB</w:t>
      </w:r>
      <w:r>
        <w:rPr>
          <w:rFonts w:hint="eastAsia"/>
          <w:lang w:val="en-US" w:eastAsia="zh-CN"/>
        </w:rPr>
        <w:t xml:space="preserve"> </w:t>
      </w:r>
      <w:r>
        <w:rPr>
          <w:rFonts w:hint="eastAsia"/>
        </w:rPr>
        <w:t>15742规定的方法测试。</w:t>
      </w:r>
    </w:p>
    <w:p w14:paraId="574C7858">
      <w:pPr>
        <w:pStyle w:val="83"/>
        <w:rPr>
          <w:color w:val="auto"/>
          <w:highlight w:val="none"/>
        </w:rPr>
      </w:pPr>
      <w:r>
        <w:rPr>
          <w:rFonts w:hint="eastAsia"/>
          <w:color w:val="auto"/>
          <w:highlight w:val="none"/>
          <w:lang w:val="en-US" w:eastAsia="zh-CN"/>
        </w:rPr>
        <w:t>间接视野装置</w:t>
      </w:r>
    </w:p>
    <w:p w14:paraId="3330FA39">
      <w:pPr>
        <w:pStyle w:val="27"/>
        <w:rPr>
          <w:rFonts w:hint="eastAsia" w:eastAsia="宋体"/>
          <w:lang w:eastAsia="zh-CN"/>
        </w:rPr>
      </w:pPr>
      <w:r>
        <w:rPr>
          <w:rFonts w:hint="eastAsia"/>
        </w:rPr>
        <w:t>间接视野装置及其安装要求按GB</w:t>
      </w:r>
      <w:r>
        <w:rPr>
          <w:rFonts w:hint="eastAsia"/>
          <w:lang w:val="en-US" w:eastAsia="zh-CN"/>
        </w:rPr>
        <w:t xml:space="preserve"> </w:t>
      </w:r>
      <w:r>
        <w:rPr>
          <w:rFonts w:hint="eastAsia"/>
        </w:rPr>
        <w:t>17352以及GB</w:t>
      </w:r>
      <w:r>
        <w:rPr>
          <w:rFonts w:hint="eastAsia"/>
          <w:lang w:val="en-US" w:eastAsia="zh-CN"/>
        </w:rPr>
        <w:t xml:space="preserve"> </w:t>
      </w:r>
      <w:r>
        <w:rPr>
          <w:rFonts w:hint="eastAsia"/>
        </w:rPr>
        <w:t>15084的有关规定检查</w:t>
      </w:r>
      <w:r>
        <w:rPr>
          <w:rFonts w:hint="eastAsia"/>
          <w:lang w:eastAsia="zh-CN"/>
        </w:rPr>
        <w:t>。</w:t>
      </w:r>
    </w:p>
    <w:p w14:paraId="0DAF785D">
      <w:pPr>
        <w:pStyle w:val="83"/>
        <w:rPr>
          <w:color w:val="auto"/>
          <w:highlight w:val="none"/>
        </w:rPr>
      </w:pPr>
      <w:r>
        <w:rPr>
          <w:rFonts w:hint="eastAsia"/>
          <w:color w:val="auto"/>
          <w:highlight w:val="none"/>
        </w:rPr>
        <w:t>驻车稳定角</w:t>
      </w:r>
    </w:p>
    <w:p w14:paraId="1FA9398A">
      <w:pPr>
        <w:pStyle w:val="27"/>
        <w:rPr>
          <w:color w:val="auto"/>
          <w:highlight w:val="none"/>
        </w:rPr>
      </w:pPr>
      <w:r>
        <w:rPr>
          <w:rFonts w:hint="eastAsia"/>
          <w:color w:val="auto"/>
          <w:highlight w:val="none"/>
        </w:rPr>
        <w:t>驻车稳定角试验按GB/T 5378规定的方法测试。</w:t>
      </w:r>
    </w:p>
    <w:p w14:paraId="3A112DFD">
      <w:pPr>
        <w:pStyle w:val="83"/>
        <w:rPr>
          <w:color w:val="auto"/>
          <w:highlight w:val="none"/>
        </w:rPr>
      </w:pPr>
      <w:r>
        <w:rPr>
          <w:rFonts w:hint="eastAsia"/>
          <w:color w:val="auto"/>
          <w:highlight w:val="none"/>
        </w:rPr>
        <w:t>防盗装置</w:t>
      </w:r>
    </w:p>
    <w:p w14:paraId="401E07FF">
      <w:pPr>
        <w:pStyle w:val="27"/>
        <w:rPr>
          <w:color w:val="auto"/>
          <w:highlight w:val="none"/>
        </w:rPr>
      </w:pPr>
      <w:r>
        <w:rPr>
          <w:rFonts w:hint="eastAsia"/>
          <w:color w:val="auto"/>
          <w:highlight w:val="none"/>
        </w:rPr>
        <w:t>防盗装置按GB 17353规定的方法测试。</w:t>
      </w:r>
    </w:p>
    <w:p w14:paraId="3DE7032F">
      <w:pPr>
        <w:pStyle w:val="83"/>
        <w:rPr>
          <w:color w:val="auto"/>
          <w:highlight w:val="none"/>
        </w:rPr>
      </w:pPr>
      <w:r>
        <w:rPr>
          <w:rFonts w:hint="eastAsia"/>
          <w:color w:val="auto"/>
          <w:highlight w:val="none"/>
        </w:rPr>
        <w:t>外部凸出物</w:t>
      </w:r>
    </w:p>
    <w:p w14:paraId="6271FE3C">
      <w:pPr>
        <w:pStyle w:val="27"/>
        <w:rPr>
          <w:color w:val="auto"/>
          <w:highlight w:val="none"/>
        </w:rPr>
      </w:pPr>
      <w:r>
        <w:t>外部凸出物按GB 20074规定检查。</w:t>
      </w:r>
    </w:p>
    <w:p w14:paraId="4A332DAC">
      <w:pPr>
        <w:pStyle w:val="83"/>
        <w:rPr>
          <w:color w:val="auto"/>
          <w:highlight w:val="none"/>
        </w:rPr>
      </w:pPr>
      <w:r>
        <w:rPr>
          <w:rFonts w:hint="eastAsia"/>
          <w:color w:val="auto"/>
          <w:highlight w:val="none"/>
        </w:rPr>
        <w:t>制动性能</w:t>
      </w:r>
    </w:p>
    <w:p w14:paraId="286BEC36">
      <w:pPr>
        <w:pStyle w:val="27"/>
        <w:rPr>
          <w:color w:val="auto"/>
          <w:highlight w:val="none"/>
        </w:rPr>
      </w:pPr>
      <w:r>
        <w:rPr>
          <w:rFonts w:hint="eastAsia"/>
          <w:color w:val="auto"/>
          <w:highlight w:val="none"/>
        </w:rPr>
        <w:t>制动性能按GB 20073相应方法测试。</w:t>
      </w:r>
    </w:p>
    <w:p w14:paraId="5D0721EF">
      <w:pPr>
        <w:pStyle w:val="83"/>
        <w:rPr>
          <w:color w:val="auto"/>
          <w:highlight w:val="none"/>
        </w:rPr>
      </w:pPr>
      <w:r>
        <w:rPr>
          <w:rFonts w:hint="eastAsia"/>
          <w:color w:val="auto"/>
          <w:highlight w:val="none"/>
          <w:lang w:val="en-US" w:eastAsia="zh-CN"/>
        </w:rPr>
        <w:t>无线电骚扰特性</w:t>
      </w:r>
    </w:p>
    <w:p w14:paraId="0C9482E0">
      <w:pPr>
        <w:pStyle w:val="27"/>
        <w:rPr>
          <w:rFonts w:hint="default"/>
          <w:color w:val="auto"/>
          <w:highlight w:val="none"/>
          <w:lang w:val="en-US"/>
        </w:rPr>
      </w:pPr>
      <w:r>
        <w:rPr>
          <w:rFonts w:hint="eastAsia"/>
          <w:color w:val="auto"/>
          <w:highlight w:val="none"/>
          <w:lang w:val="en-US" w:eastAsia="zh-CN"/>
        </w:rPr>
        <w:t>无线电骚扰特性要求按照GB 14023中规定的方法测试。</w:t>
      </w:r>
    </w:p>
    <w:p w14:paraId="4F51AD75">
      <w:pPr>
        <w:pStyle w:val="83"/>
        <w:rPr>
          <w:color w:val="auto"/>
          <w:highlight w:val="none"/>
        </w:rPr>
      </w:pPr>
      <w:r>
        <w:rPr>
          <w:rFonts w:hint="eastAsia"/>
          <w:color w:val="auto"/>
          <w:highlight w:val="none"/>
        </w:rPr>
        <w:t>电磁兼容性</w:t>
      </w:r>
    </w:p>
    <w:p w14:paraId="0B78332E">
      <w:pPr>
        <w:pStyle w:val="27"/>
        <w:rPr>
          <w:color w:val="auto"/>
          <w:highlight w:val="none"/>
        </w:rPr>
      </w:pPr>
      <w:r>
        <w:rPr>
          <w:rFonts w:hint="eastAsia"/>
          <w:color w:val="auto"/>
          <w:highlight w:val="none"/>
        </w:rPr>
        <w:t>电磁兼容性要求按GB 34660相应方法测试，电磁场发射强度按GB/T 18387相关方法测试。</w:t>
      </w:r>
    </w:p>
    <w:p w14:paraId="1D501EBD">
      <w:pPr>
        <w:pStyle w:val="83"/>
        <w:rPr>
          <w:color w:val="auto"/>
          <w:highlight w:val="none"/>
        </w:rPr>
      </w:pPr>
      <w:r>
        <w:rPr>
          <w:rFonts w:hint="eastAsia"/>
          <w:color w:val="auto"/>
          <w:highlight w:val="none"/>
          <w:lang w:val="en-US" w:eastAsia="zh-CN"/>
        </w:rPr>
        <w:t>灯光与信号装置</w:t>
      </w:r>
    </w:p>
    <w:p w14:paraId="72079F0E">
      <w:pPr>
        <w:pStyle w:val="27"/>
        <w:rPr>
          <w:rFonts w:hint="eastAsia"/>
          <w:color w:val="auto"/>
          <w:highlight w:val="none"/>
        </w:rPr>
      </w:pPr>
      <w:r>
        <w:rPr>
          <w:rFonts w:hint="eastAsia"/>
          <w:color w:val="auto"/>
          <w:highlight w:val="none"/>
        </w:rPr>
        <w:t>灯光与信号装置的安装及性能</w:t>
      </w:r>
      <w:r>
        <w:rPr>
          <w:rFonts w:hint="eastAsia"/>
          <w:color w:val="auto"/>
          <w:highlight w:val="none"/>
          <w:lang w:val="en-US" w:eastAsia="zh-CN"/>
        </w:rPr>
        <w:t>按照</w:t>
      </w:r>
      <w:r>
        <w:rPr>
          <w:rFonts w:hint="eastAsia"/>
          <w:color w:val="auto"/>
          <w:highlight w:val="none"/>
        </w:rPr>
        <w:t>GB/T 24158—2018的相关</w:t>
      </w:r>
      <w:r>
        <w:rPr>
          <w:rFonts w:hint="eastAsia"/>
          <w:color w:val="auto"/>
          <w:highlight w:val="none"/>
          <w:lang w:val="en-US" w:eastAsia="zh-CN"/>
        </w:rPr>
        <w:t>方法测试</w:t>
      </w:r>
      <w:r>
        <w:rPr>
          <w:rFonts w:hint="eastAsia"/>
          <w:color w:val="auto"/>
          <w:highlight w:val="none"/>
        </w:rPr>
        <w:t>。</w:t>
      </w:r>
    </w:p>
    <w:p w14:paraId="59669AFD">
      <w:pPr>
        <w:pStyle w:val="83"/>
        <w:rPr>
          <w:color w:val="auto"/>
          <w:highlight w:val="none"/>
        </w:rPr>
      </w:pPr>
      <w:r>
        <w:rPr>
          <w:rFonts w:hint="eastAsia"/>
          <w:color w:val="auto"/>
          <w:highlight w:val="none"/>
        </w:rPr>
        <w:t>电气部件</w:t>
      </w:r>
    </w:p>
    <w:p w14:paraId="5054B988">
      <w:pPr>
        <w:pStyle w:val="127"/>
        <w:rPr>
          <w:color w:val="auto"/>
          <w:highlight w:val="none"/>
        </w:rPr>
      </w:pPr>
      <w:r>
        <w:rPr>
          <w:rFonts w:hint="eastAsia"/>
          <w:color w:val="auto"/>
          <w:highlight w:val="none"/>
          <w:lang w:val="en-US" w:eastAsia="zh-CN"/>
        </w:rPr>
        <w:t>越野摩托车</w:t>
      </w:r>
      <w:r>
        <w:rPr>
          <w:rFonts w:hint="eastAsia"/>
          <w:color w:val="auto"/>
          <w:highlight w:val="none"/>
        </w:rPr>
        <w:t>车用</w:t>
      </w:r>
      <w:r>
        <w:rPr>
          <w:rFonts w:hint="eastAsia"/>
          <w:color w:val="auto"/>
          <w:highlight w:val="none"/>
          <w:lang w:val="en-US" w:eastAsia="zh-CN"/>
        </w:rPr>
        <w:t>锂</w:t>
      </w:r>
      <w:r>
        <w:rPr>
          <w:rFonts w:hint="eastAsia"/>
          <w:color w:val="auto"/>
          <w:highlight w:val="none"/>
        </w:rPr>
        <w:t>离子蓄电池应按GB/T 36672的方法测试。</w:t>
      </w:r>
    </w:p>
    <w:p w14:paraId="0DA8742C">
      <w:pPr>
        <w:pStyle w:val="127"/>
        <w:rPr>
          <w:color w:val="auto"/>
          <w:highlight w:val="none"/>
        </w:rPr>
      </w:pPr>
      <w:r>
        <w:rPr>
          <w:rFonts w:hint="eastAsia"/>
          <w:color w:val="auto"/>
          <w:highlight w:val="none"/>
          <w:lang w:val="en-US" w:eastAsia="zh-CN"/>
        </w:rPr>
        <w:t>越野摩托车</w:t>
      </w:r>
      <w:r>
        <w:rPr>
          <w:rFonts w:hint="eastAsia"/>
          <w:color w:val="auto"/>
          <w:highlight w:val="none"/>
        </w:rPr>
        <w:t>用电动机及其控制器应按QC/T 792的规定方法测试。</w:t>
      </w:r>
    </w:p>
    <w:p w14:paraId="127D65A6">
      <w:pPr>
        <w:pStyle w:val="83"/>
        <w:rPr>
          <w:color w:val="auto"/>
          <w:highlight w:val="none"/>
        </w:rPr>
      </w:pPr>
      <w:r>
        <w:rPr>
          <w:rFonts w:hint="eastAsia"/>
          <w:color w:val="auto"/>
          <w:highlight w:val="none"/>
        </w:rPr>
        <w:t>主要性能</w:t>
      </w:r>
    </w:p>
    <w:p w14:paraId="6FB1447A">
      <w:pPr>
        <w:pStyle w:val="127"/>
        <w:rPr>
          <w:color w:val="auto"/>
          <w:highlight w:val="none"/>
        </w:rPr>
      </w:pPr>
      <w:r>
        <w:rPr>
          <w:rFonts w:hint="eastAsia"/>
          <w:color w:val="auto"/>
          <w:highlight w:val="none"/>
        </w:rPr>
        <w:t>爬坡能力试验</w:t>
      </w:r>
      <w:r>
        <w:rPr>
          <w:rFonts w:hint="eastAsia"/>
          <w:color w:val="auto"/>
          <w:highlight w:val="none"/>
          <w:lang w:eastAsia="zh-CN"/>
        </w:rPr>
        <w:t>、</w:t>
      </w:r>
      <w:r>
        <w:rPr>
          <w:rFonts w:hint="eastAsia"/>
          <w:color w:val="auto"/>
          <w:highlight w:val="none"/>
          <w:lang w:val="en-US" w:eastAsia="zh-CN"/>
        </w:rPr>
        <w:t>静态坡道起步能力</w:t>
      </w:r>
      <w:r>
        <w:rPr>
          <w:rFonts w:hint="eastAsia"/>
          <w:color w:val="auto"/>
          <w:highlight w:val="none"/>
        </w:rPr>
        <w:t>及加速性能试验按GB/T 24156规定的方法测试。</w:t>
      </w:r>
    </w:p>
    <w:p w14:paraId="7E9CFED8">
      <w:pPr>
        <w:pStyle w:val="127"/>
        <w:rPr>
          <w:color w:val="auto"/>
          <w:highlight w:val="none"/>
        </w:rPr>
      </w:pPr>
      <w:r>
        <w:rPr>
          <w:rFonts w:hint="eastAsia"/>
          <w:color w:val="auto"/>
          <w:highlight w:val="none"/>
          <w:lang w:val="en-US" w:eastAsia="zh-CN"/>
        </w:rPr>
        <w:t>能量消耗率试验及</w:t>
      </w:r>
      <w:r>
        <w:rPr>
          <w:rFonts w:hint="eastAsia"/>
          <w:color w:val="auto"/>
          <w:highlight w:val="none"/>
        </w:rPr>
        <w:t>续驶里程试验按GB/T 24157规定的方法测试。</w:t>
      </w:r>
    </w:p>
    <w:p w14:paraId="7414A37E">
      <w:pPr>
        <w:pStyle w:val="127"/>
        <w:rPr>
          <w:color w:val="auto"/>
          <w:highlight w:val="none"/>
        </w:rPr>
      </w:pPr>
      <w:r>
        <w:rPr>
          <w:rFonts w:hint="eastAsia"/>
          <w:color w:val="auto"/>
          <w:highlight w:val="none"/>
          <w:lang w:val="en-US" w:eastAsia="zh-CN"/>
        </w:rPr>
        <w:t>制动距离试验按</w:t>
      </w:r>
      <w:r>
        <w:rPr>
          <w:rFonts w:hint="eastAsia"/>
          <w:color w:val="auto"/>
          <w:highlight w:val="none"/>
        </w:rPr>
        <w:t>GB 20073</w:t>
      </w:r>
      <w:r>
        <w:rPr>
          <w:rFonts w:hint="eastAsia"/>
          <w:color w:val="auto"/>
          <w:highlight w:val="none"/>
          <w:lang w:val="en-US" w:eastAsia="zh-CN"/>
        </w:rPr>
        <w:t>规定的方法测试。</w:t>
      </w:r>
    </w:p>
    <w:p w14:paraId="388F8453">
      <w:pPr>
        <w:pStyle w:val="127"/>
        <w:rPr>
          <w:color w:val="auto"/>
          <w:highlight w:val="none"/>
        </w:rPr>
      </w:pPr>
      <w:r>
        <w:rPr>
          <w:rFonts w:hint="eastAsia"/>
          <w:color w:val="auto"/>
          <w:highlight w:val="none"/>
          <w:lang w:val="en-US" w:eastAsia="zh-CN"/>
        </w:rPr>
        <w:t>涉水通过能力按GB 24155中规定的方法测试。</w:t>
      </w:r>
    </w:p>
    <w:p w14:paraId="060967FE">
      <w:pPr>
        <w:pStyle w:val="127"/>
        <w:rPr>
          <w:color w:val="auto"/>
          <w:highlight w:val="none"/>
        </w:rPr>
      </w:pPr>
      <w:r>
        <w:rPr>
          <w:rFonts w:hint="eastAsia"/>
          <w:color w:val="auto"/>
          <w:highlight w:val="none"/>
          <w:lang w:val="en-US" w:eastAsia="zh-CN"/>
        </w:rPr>
        <w:t>最小离地间隙、整备质量功率比、最小转弯直径及</w:t>
      </w:r>
      <w:r>
        <w:rPr>
          <w:rFonts w:hint="eastAsia"/>
          <w:color w:val="auto"/>
          <w:highlight w:val="none"/>
        </w:rPr>
        <w:t>接近角/离去角</w:t>
      </w:r>
      <w:r>
        <w:rPr>
          <w:rFonts w:hint="eastAsia"/>
          <w:color w:val="auto"/>
          <w:highlight w:val="none"/>
          <w:lang w:val="en-US" w:eastAsia="zh-CN"/>
        </w:rPr>
        <w:t>按GB/T 5373中规定的方法测试；</w:t>
      </w:r>
    </w:p>
    <w:p w14:paraId="533216EE">
      <w:pPr>
        <w:pStyle w:val="127"/>
        <w:rPr>
          <w:color w:val="auto"/>
          <w:highlight w:val="none"/>
        </w:rPr>
      </w:pPr>
      <w:r>
        <w:rPr>
          <w:rFonts w:hint="eastAsia"/>
          <w:color w:val="auto"/>
          <w:highlight w:val="none"/>
        </w:rPr>
        <w:t>快换电池耗时</w:t>
      </w:r>
      <w:r>
        <w:rPr>
          <w:rFonts w:hint="eastAsia"/>
          <w:color w:val="auto"/>
          <w:highlight w:val="none"/>
          <w:lang w:val="en-US" w:eastAsia="zh-CN"/>
        </w:rPr>
        <w:t>按附录B中规定的方法测试；</w:t>
      </w:r>
    </w:p>
    <w:p w14:paraId="4489118C">
      <w:pPr>
        <w:pStyle w:val="127"/>
        <w:rPr>
          <w:color w:val="auto"/>
          <w:highlight w:val="none"/>
        </w:rPr>
      </w:pPr>
      <w:r>
        <w:rPr>
          <w:rFonts w:hint="eastAsia"/>
          <w:color w:val="auto"/>
          <w:highlight w:val="none"/>
          <w:lang w:val="en-US" w:eastAsia="zh-CN"/>
        </w:rPr>
        <w:t>悬架有效行程按附录C中规定的方法测试。</w:t>
      </w:r>
    </w:p>
    <w:p w14:paraId="67E98E7D">
      <w:pPr>
        <w:pStyle w:val="83"/>
        <w:rPr>
          <w:color w:val="auto"/>
          <w:highlight w:val="none"/>
        </w:rPr>
      </w:pPr>
      <w:r>
        <w:rPr>
          <w:rFonts w:hint="eastAsia"/>
          <w:color w:val="auto"/>
          <w:highlight w:val="none"/>
        </w:rPr>
        <w:t>可靠性</w:t>
      </w:r>
    </w:p>
    <w:p w14:paraId="060C5284">
      <w:pPr>
        <w:pStyle w:val="27"/>
        <w:rPr>
          <w:color w:val="auto"/>
          <w:highlight w:val="none"/>
        </w:rPr>
      </w:pPr>
      <w:r>
        <w:rPr>
          <w:rFonts w:hint="eastAsia"/>
          <w:color w:val="auto"/>
          <w:highlight w:val="none"/>
        </w:rPr>
        <w:t>整车可靠性试验按GB/T 5374规定的方法进行。允许采用上述规定以外的方法。</w:t>
      </w:r>
    </w:p>
    <w:p w14:paraId="21C64428">
      <w:pPr>
        <w:pStyle w:val="83"/>
        <w:rPr>
          <w:color w:val="auto"/>
          <w:highlight w:val="none"/>
        </w:rPr>
      </w:pPr>
      <w:r>
        <w:rPr>
          <w:rFonts w:hint="eastAsia"/>
          <w:color w:val="auto"/>
          <w:highlight w:val="none"/>
        </w:rPr>
        <w:t>装配质量</w:t>
      </w:r>
    </w:p>
    <w:p w14:paraId="4E3180D5">
      <w:pPr>
        <w:pStyle w:val="82"/>
        <w:spacing w:before="156" w:after="156"/>
        <w:rPr>
          <w:color w:val="auto"/>
          <w:highlight w:val="none"/>
        </w:rPr>
      </w:pPr>
      <w:r>
        <w:rPr>
          <w:rFonts w:hint="eastAsia"/>
          <w:color w:val="auto"/>
          <w:highlight w:val="none"/>
        </w:rPr>
        <w:t>紧固件预紧力矩检查</w:t>
      </w:r>
    </w:p>
    <w:p w14:paraId="5C283E19">
      <w:pPr>
        <w:pStyle w:val="27"/>
        <w:rPr>
          <w:color w:val="auto"/>
          <w:highlight w:val="none"/>
        </w:rPr>
      </w:pPr>
      <w:r>
        <w:rPr>
          <w:rFonts w:hint="eastAsia"/>
          <w:color w:val="auto"/>
          <w:highlight w:val="none"/>
        </w:rPr>
        <w:t>凡技术文件提出预紧力矩要求的紧固件，用扭矩扳手顺拧紧方向平稳地逐渐增大扭矩，读取开始旋动时的瞬时力矩。有开口销或锁紧垫片的螺母及处于不易检查部位的紧固件，可以用固定扳手凭手感检查其是否已被拧紧。未要求的其余紧固件，用固定扳手凭手感检查。</w:t>
      </w:r>
    </w:p>
    <w:p w14:paraId="0EE3334E">
      <w:pPr>
        <w:pStyle w:val="27"/>
        <w:rPr>
          <w:color w:val="auto"/>
          <w:highlight w:val="none"/>
        </w:rPr>
      </w:pPr>
      <w:r>
        <w:rPr>
          <w:rFonts w:hint="eastAsia"/>
          <w:color w:val="auto"/>
          <w:highlight w:val="none"/>
        </w:rPr>
        <w:t>在车辆走合行驶前检查紧固件预紧力矩并在行驶100</w:t>
      </w:r>
      <w:r>
        <w:rPr>
          <w:color w:val="auto"/>
          <w:highlight w:val="none"/>
        </w:rPr>
        <w:t> </w:t>
      </w:r>
      <w:r>
        <w:rPr>
          <w:rFonts w:hint="eastAsia"/>
          <w:color w:val="auto"/>
          <w:highlight w:val="none"/>
        </w:rPr>
        <w:t>km后复查。</w:t>
      </w:r>
    </w:p>
    <w:p w14:paraId="3D33F23B">
      <w:pPr>
        <w:pStyle w:val="82"/>
        <w:spacing w:before="156" w:after="156"/>
        <w:rPr>
          <w:color w:val="auto"/>
          <w:highlight w:val="none"/>
        </w:rPr>
      </w:pPr>
      <w:r>
        <w:rPr>
          <w:rFonts w:hint="eastAsia"/>
          <w:color w:val="auto"/>
          <w:highlight w:val="none"/>
        </w:rPr>
        <w:t>渗、漏液检查</w:t>
      </w:r>
    </w:p>
    <w:p w14:paraId="0CE0926F">
      <w:pPr>
        <w:pStyle w:val="27"/>
        <w:rPr>
          <w:color w:val="auto"/>
          <w:highlight w:val="none"/>
        </w:rPr>
      </w:pPr>
      <w:r>
        <w:rPr>
          <w:rFonts w:hint="eastAsia"/>
          <w:color w:val="auto"/>
          <w:highlight w:val="none"/>
        </w:rPr>
        <w:t>车辆走合前将制动器、减震器等需要检查的部位擦拭干净、在车辆走合行驶100</w:t>
      </w:r>
      <w:r>
        <w:rPr>
          <w:color w:val="auto"/>
          <w:highlight w:val="none"/>
        </w:rPr>
        <w:t> </w:t>
      </w:r>
      <w:r>
        <w:rPr>
          <w:rFonts w:hint="eastAsia"/>
          <w:color w:val="auto"/>
          <w:highlight w:val="none"/>
        </w:rPr>
        <w:t>km期间定期检查渗漏液与否。</w:t>
      </w:r>
    </w:p>
    <w:p w14:paraId="1E5E6D5D">
      <w:pPr>
        <w:pStyle w:val="27"/>
        <w:rPr>
          <w:color w:val="auto"/>
          <w:highlight w:val="none"/>
        </w:rPr>
      </w:pPr>
      <w:r>
        <w:rPr>
          <w:rFonts w:hint="eastAsia"/>
          <w:color w:val="auto"/>
          <w:highlight w:val="none"/>
        </w:rPr>
        <w:t>受检车辆以设计最高车速的50</w:t>
      </w:r>
      <w:r>
        <w:rPr>
          <w:color w:val="auto"/>
          <w:highlight w:val="none"/>
        </w:rPr>
        <w:t> </w:t>
      </w:r>
      <w:r>
        <w:rPr>
          <w:rFonts w:hint="eastAsia"/>
          <w:color w:val="auto"/>
          <w:highlight w:val="none"/>
        </w:rPr>
        <w:t>％～70</w:t>
      </w:r>
      <w:r>
        <w:rPr>
          <w:color w:val="auto"/>
          <w:highlight w:val="none"/>
        </w:rPr>
        <w:t> </w:t>
      </w:r>
      <w:r>
        <w:rPr>
          <w:rFonts w:hint="eastAsia"/>
          <w:color w:val="auto"/>
          <w:highlight w:val="none"/>
        </w:rPr>
        <w:t>％速度行驶，每行驶50</w:t>
      </w:r>
      <w:r>
        <w:rPr>
          <w:color w:val="auto"/>
          <w:highlight w:val="none"/>
        </w:rPr>
        <w:t> </w:t>
      </w:r>
      <w:r>
        <w:rPr>
          <w:rFonts w:hint="eastAsia"/>
          <w:color w:val="auto"/>
          <w:highlight w:val="none"/>
        </w:rPr>
        <w:t>km后停车检查各密封部位。停车10</w:t>
      </w:r>
      <w:r>
        <w:rPr>
          <w:color w:val="auto"/>
          <w:highlight w:val="none"/>
        </w:rPr>
        <w:t> </w:t>
      </w:r>
      <w:r>
        <w:rPr>
          <w:rFonts w:hint="eastAsia"/>
          <w:color w:val="auto"/>
          <w:highlight w:val="none"/>
        </w:rPr>
        <w:t>min内如有液体下滴判为漏液；如有液迹而并未下滴判为渗液。累计行驶100</w:t>
      </w:r>
      <w:r>
        <w:rPr>
          <w:color w:val="auto"/>
          <w:highlight w:val="none"/>
        </w:rPr>
        <w:t> </w:t>
      </w:r>
      <w:r>
        <w:rPr>
          <w:rFonts w:hint="eastAsia"/>
          <w:color w:val="auto"/>
          <w:highlight w:val="none"/>
        </w:rPr>
        <w:t>km后复查。</w:t>
      </w:r>
    </w:p>
    <w:p w14:paraId="279655BD">
      <w:pPr>
        <w:pStyle w:val="83"/>
        <w:rPr>
          <w:color w:val="auto"/>
          <w:highlight w:val="none"/>
        </w:rPr>
      </w:pPr>
      <w:r>
        <w:rPr>
          <w:rFonts w:hint="eastAsia"/>
          <w:color w:val="auto"/>
          <w:highlight w:val="none"/>
        </w:rPr>
        <w:t>外观质量</w:t>
      </w:r>
    </w:p>
    <w:p w14:paraId="4D63FC0A">
      <w:pPr>
        <w:pStyle w:val="27"/>
        <w:rPr>
          <w:color w:val="auto"/>
          <w:highlight w:val="none"/>
        </w:rPr>
      </w:pPr>
      <w:r>
        <w:rPr>
          <w:rFonts w:hint="eastAsia"/>
          <w:color w:val="auto"/>
          <w:highlight w:val="none"/>
        </w:rPr>
        <w:t>采用目视或手感方法，有争议时，可采用标准样件或样板进行检查。</w:t>
      </w:r>
    </w:p>
    <w:p w14:paraId="0FC8F74F">
      <w:pPr>
        <w:pStyle w:val="56"/>
        <w:rPr>
          <w:color w:val="auto"/>
          <w:highlight w:val="none"/>
        </w:rPr>
      </w:pPr>
      <w:bookmarkStart w:id="104" w:name="_Toc1393"/>
      <w:bookmarkStart w:id="105" w:name="_Toc2727"/>
      <w:bookmarkStart w:id="106" w:name="_Toc15445"/>
      <w:bookmarkStart w:id="107" w:name="_Toc20985"/>
      <w:bookmarkStart w:id="108" w:name="_Toc28615"/>
      <w:bookmarkStart w:id="109" w:name="_Toc8421"/>
      <w:bookmarkStart w:id="110" w:name="_Toc2301"/>
      <w:bookmarkStart w:id="111" w:name="_Toc29668"/>
      <w:r>
        <w:rPr>
          <w:rFonts w:hint="eastAsia"/>
          <w:color w:val="auto"/>
          <w:highlight w:val="none"/>
        </w:rPr>
        <w:t>检验规则</w:t>
      </w:r>
      <w:bookmarkEnd w:id="104"/>
      <w:bookmarkEnd w:id="105"/>
      <w:bookmarkEnd w:id="106"/>
      <w:bookmarkEnd w:id="107"/>
      <w:bookmarkEnd w:id="108"/>
      <w:bookmarkEnd w:id="109"/>
      <w:bookmarkEnd w:id="110"/>
      <w:bookmarkEnd w:id="111"/>
    </w:p>
    <w:p w14:paraId="2BC445DA">
      <w:pPr>
        <w:pStyle w:val="83"/>
        <w:rPr>
          <w:color w:val="auto"/>
          <w:highlight w:val="none"/>
        </w:rPr>
      </w:pPr>
      <w:r>
        <w:rPr>
          <w:rFonts w:hint="eastAsia"/>
          <w:color w:val="auto"/>
          <w:highlight w:val="none"/>
        </w:rPr>
        <w:t>检验分类</w:t>
      </w:r>
    </w:p>
    <w:p w14:paraId="23B87FDC">
      <w:pPr>
        <w:pStyle w:val="27"/>
        <w:rPr>
          <w:color w:val="auto"/>
          <w:highlight w:val="none"/>
        </w:rPr>
      </w:pPr>
      <w:r>
        <w:rPr>
          <w:rFonts w:hint="eastAsia"/>
          <w:color w:val="auto"/>
          <w:highlight w:val="none"/>
        </w:rPr>
        <w:t>产品检验分出厂检验和型式检验。</w:t>
      </w:r>
    </w:p>
    <w:p w14:paraId="780DCF38">
      <w:pPr>
        <w:pStyle w:val="83"/>
        <w:rPr>
          <w:color w:val="auto"/>
          <w:highlight w:val="none"/>
        </w:rPr>
      </w:pPr>
      <w:r>
        <w:rPr>
          <w:rFonts w:hint="eastAsia"/>
          <w:color w:val="auto"/>
          <w:highlight w:val="none"/>
        </w:rPr>
        <w:t>出厂检验</w:t>
      </w:r>
    </w:p>
    <w:p w14:paraId="44D38F4E">
      <w:pPr>
        <w:pStyle w:val="127"/>
        <w:rPr>
          <w:color w:val="auto"/>
          <w:highlight w:val="none"/>
        </w:rPr>
      </w:pPr>
      <w:r>
        <w:rPr>
          <w:rFonts w:hint="eastAsia"/>
          <w:color w:val="auto"/>
          <w:highlight w:val="none"/>
          <w:lang w:val="en-US" w:eastAsia="zh-CN"/>
        </w:rPr>
        <w:t>越野</w:t>
      </w:r>
      <w:r>
        <w:rPr>
          <w:rFonts w:hint="eastAsia"/>
          <w:color w:val="auto"/>
          <w:highlight w:val="none"/>
        </w:rPr>
        <w:t>摩托车须经公司质量检验部门逐辆进行出厂检验合格后签发合格证，方可出厂。</w:t>
      </w:r>
    </w:p>
    <w:p w14:paraId="032D75D6">
      <w:pPr>
        <w:pStyle w:val="127"/>
        <w:rPr>
          <w:color w:val="auto"/>
          <w:highlight w:val="none"/>
        </w:rPr>
      </w:pPr>
      <w:r>
        <w:rPr>
          <w:rFonts w:hint="eastAsia"/>
          <w:color w:val="auto"/>
          <w:highlight w:val="none"/>
          <w:lang w:val="en-US" w:eastAsia="zh-CN"/>
        </w:rPr>
        <w:t>越野</w:t>
      </w:r>
      <w:r>
        <w:rPr>
          <w:rFonts w:hint="eastAsia"/>
          <w:color w:val="auto"/>
          <w:highlight w:val="none"/>
        </w:rPr>
        <w:t>摩托车出厂受检项目均应合格。</w:t>
      </w:r>
    </w:p>
    <w:p w14:paraId="020E45B3">
      <w:pPr>
        <w:pStyle w:val="127"/>
        <w:rPr>
          <w:color w:val="auto"/>
          <w:highlight w:val="none"/>
        </w:rPr>
      </w:pPr>
      <w:r>
        <w:rPr>
          <w:rFonts w:hint="eastAsia"/>
          <w:color w:val="auto"/>
          <w:highlight w:val="none"/>
          <w:lang w:val="en-US" w:eastAsia="zh-CN"/>
        </w:rPr>
        <w:t>越野</w:t>
      </w:r>
      <w:r>
        <w:rPr>
          <w:rFonts w:hint="eastAsia"/>
          <w:color w:val="auto"/>
          <w:highlight w:val="none"/>
        </w:rPr>
        <w:t>摩托车必须经出厂检验合格，并由品管部出具合格证，加施</w:t>
      </w:r>
      <w:r>
        <w:rPr>
          <w:rFonts w:hint="eastAsia"/>
          <w:color w:val="auto"/>
          <w:highlight w:val="none"/>
          <w:lang w:val="en-US" w:eastAsia="zh-CN"/>
        </w:rPr>
        <w:t>销售国对应产品的许可</w:t>
      </w:r>
      <w:r>
        <w:rPr>
          <w:rFonts w:hint="eastAsia"/>
          <w:color w:val="auto"/>
          <w:highlight w:val="none"/>
        </w:rPr>
        <w:t>标志，方可出厂。</w:t>
      </w:r>
    </w:p>
    <w:p w14:paraId="789484EC">
      <w:pPr>
        <w:pStyle w:val="83"/>
        <w:rPr>
          <w:color w:val="auto"/>
          <w:highlight w:val="none"/>
        </w:rPr>
      </w:pPr>
      <w:r>
        <w:rPr>
          <w:rFonts w:hint="eastAsia"/>
          <w:color w:val="auto"/>
          <w:highlight w:val="none"/>
        </w:rPr>
        <w:t>型式检验</w:t>
      </w:r>
    </w:p>
    <w:p w14:paraId="74BC389A">
      <w:pPr>
        <w:pStyle w:val="127"/>
        <w:rPr>
          <w:color w:val="auto"/>
          <w:highlight w:val="none"/>
        </w:rPr>
      </w:pPr>
      <w:r>
        <w:rPr>
          <w:rFonts w:hint="eastAsia"/>
          <w:color w:val="auto"/>
          <w:highlight w:val="none"/>
        </w:rPr>
        <w:t>有下列情况之一时应进行型式检验:</w:t>
      </w:r>
    </w:p>
    <w:p w14:paraId="73D473A3">
      <w:pPr>
        <w:pStyle w:val="89"/>
        <w:numPr>
          <w:ilvl w:val="0"/>
          <w:numId w:val="20"/>
        </w:numPr>
        <w:rPr>
          <w:color w:val="auto"/>
          <w:highlight w:val="none"/>
        </w:rPr>
      </w:pPr>
      <w:r>
        <w:rPr>
          <w:rFonts w:hint="eastAsia"/>
          <w:color w:val="auto"/>
          <w:highlight w:val="none"/>
        </w:rPr>
        <w:t>新产品或者产品转厂生产的试制定型鉴定；</w:t>
      </w:r>
    </w:p>
    <w:p w14:paraId="3865329F">
      <w:pPr>
        <w:pStyle w:val="89"/>
        <w:numPr>
          <w:ilvl w:val="0"/>
          <w:numId w:val="20"/>
        </w:numPr>
        <w:rPr>
          <w:color w:val="auto"/>
          <w:highlight w:val="none"/>
        </w:rPr>
      </w:pPr>
      <w:r>
        <w:rPr>
          <w:rFonts w:hint="eastAsia"/>
          <w:color w:val="auto"/>
          <w:highlight w:val="none"/>
        </w:rPr>
        <w:t>产品设计、工艺或关键成品件有重大改变，可能明显影响产品质量或性能时，此时可针对项目进行单项或部分项目检验；</w:t>
      </w:r>
    </w:p>
    <w:p w14:paraId="1D53C1B9">
      <w:pPr>
        <w:pStyle w:val="89"/>
        <w:numPr>
          <w:ilvl w:val="0"/>
          <w:numId w:val="20"/>
        </w:numPr>
        <w:rPr>
          <w:color w:val="auto"/>
          <w:highlight w:val="none"/>
        </w:rPr>
      </w:pPr>
      <w:r>
        <w:rPr>
          <w:rFonts w:hint="eastAsia"/>
          <w:color w:val="auto"/>
          <w:highlight w:val="none"/>
        </w:rPr>
        <w:t>停产3年以上恢复生产时。</w:t>
      </w:r>
    </w:p>
    <w:p w14:paraId="313BA662">
      <w:pPr>
        <w:pStyle w:val="127"/>
        <w:rPr>
          <w:color w:val="auto"/>
          <w:highlight w:val="none"/>
        </w:rPr>
      </w:pPr>
      <w:r>
        <w:rPr>
          <w:rFonts w:hint="eastAsia"/>
          <w:color w:val="auto"/>
          <w:highlight w:val="none"/>
        </w:rPr>
        <w:t>型式检验项目按表</w:t>
      </w:r>
      <w:r>
        <w:rPr>
          <w:rFonts w:hint="eastAsia"/>
          <w:color w:val="auto"/>
          <w:highlight w:val="none"/>
          <w:lang w:val="en-US" w:eastAsia="zh-CN"/>
        </w:rPr>
        <w:t>3</w:t>
      </w:r>
      <w:r>
        <w:rPr>
          <w:rFonts w:hint="eastAsia"/>
          <w:color w:val="auto"/>
          <w:highlight w:val="none"/>
        </w:rPr>
        <w:t>规定进行。</w:t>
      </w:r>
    </w:p>
    <w:p w14:paraId="586ABEB7">
      <w:pPr>
        <w:pStyle w:val="107"/>
        <w:rPr>
          <w:color w:val="auto"/>
          <w:highlight w:val="none"/>
        </w:rPr>
      </w:pPr>
      <w:r>
        <w:rPr>
          <w:rFonts w:hint="eastAsia"/>
          <w:color w:val="auto"/>
          <w:highlight w:val="none"/>
        </w:rPr>
        <w:t>试验项目</w:t>
      </w:r>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57"/>
        <w:gridCol w:w="1729"/>
        <w:gridCol w:w="2040"/>
        <w:gridCol w:w="1160"/>
        <w:gridCol w:w="1206"/>
      </w:tblGrid>
      <w:tr w14:paraId="1B541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4D5BA7D8">
            <w:pPr>
              <w:pStyle w:val="27"/>
              <w:ind w:firstLine="0" w:firstLineChars="0"/>
              <w:jc w:val="center"/>
              <w:rPr>
                <w:color w:val="auto"/>
                <w:szCs w:val="18"/>
                <w:highlight w:val="none"/>
              </w:rPr>
            </w:pPr>
            <w:bookmarkStart w:id="112" w:name="_Hlk156981395"/>
            <w:r>
              <w:rPr>
                <w:rFonts w:hint="eastAsia"/>
                <w:color w:val="auto"/>
                <w:szCs w:val="18"/>
                <w:highlight w:val="none"/>
              </w:rPr>
              <w:t>序号</w:t>
            </w:r>
          </w:p>
        </w:tc>
        <w:tc>
          <w:tcPr>
            <w:tcW w:w="2657" w:type="dxa"/>
            <w:tcBorders>
              <w:bottom w:val="single" w:color="auto" w:sz="8" w:space="0"/>
            </w:tcBorders>
            <w:noWrap w:val="0"/>
            <w:vAlign w:val="center"/>
          </w:tcPr>
          <w:p w14:paraId="5802D822">
            <w:pPr>
              <w:pStyle w:val="27"/>
              <w:ind w:firstLine="0" w:firstLineChars="0"/>
              <w:jc w:val="center"/>
              <w:rPr>
                <w:color w:val="auto"/>
                <w:szCs w:val="18"/>
                <w:highlight w:val="none"/>
              </w:rPr>
            </w:pPr>
            <w:r>
              <w:rPr>
                <w:rFonts w:hint="eastAsia"/>
                <w:color w:val="auto"/>
                <w:szCs w:val="18"/>
                <w:highlight w:val="none"/>
              </w:rPr>
              <w:t>检验项目</w:t>
            </w:r>
          </w:p>
        </w:tc>
        <w:tc>
          <w:tcPr>
            <w:tcW w:w="1729" w:type="dxa"/>
            <w:tcBorders>
              <w:bottom w:val="single" w:color="auto" w:sz="8" w:space="0"/>
            </w:tcBorders>
            <w:noWrap w:val="0"/>
            <w:vAlign w:val="center"/>
          </w:tcPr>
          <w:p w14:paraId="292D82B1">
            <w:pPr>
              <w:pStyle w:val="27"/>
              <w:jc w:val="center"/>
              <w:rPr>
                <w:color w:val="auto"/>
                <w:szCs w:val="18"/>
                <w:highlight w:val="none"/>
              </w:rPr>
            </w:pPr>
            <w:r>
              <w:rPr>
                <w:rFonts w:hint="eastAsia"/>
                <w:color w:val="auto"/>
                <w:szCs w:val="18"/>
                <w:highlight w:val="none"/>
              </w:rPr>
              <w:t>要求</w:t>
            </w:r>
          </w:p>
        </w:tc>
        <w:tc>
          <w:tcPr>
            <w:tcW w:w="2040" w:type="dxa"/>
            <w:tcBorders>
              <w:bottom w:val="single" w:color="auto" w:sz="8" w:space="0"/>
            </w:tcBorders>
            <w:noWrap w:val="0"/>
            <w:vAlign w:val="center"/>
          </w:tcPr>
          <w:p w14:paraId="150D79A8">
            <w:pPr>
              <w:pStyle w:val="27"/>
              <w:jc w:val="center"/>
              <w:rPr>
                <w:color w:val="auto"/>
                <w:szCs w:val="18"/>
                <w:highlight w:val="none"/>
              </w:rPr>
            </w:pPr>
            <w:r>
              <w:rPr>
                <w:rFonts w:hint="eastAsia"/>
                <w:color w:val="auto"/>
                <w:szCs w:val="18"/>
                <w:highlight w:val="none"/>
              </w:rPr>
              <w:t>检验方法</w:t>
            </w:r>
          </w:p>
        </w:tc>
        <w:tc>
          <w:tcPr>
            <w:tcW w:w="1160" w:type="dxa"/>
            <w:tcBorders>
              <w:bottom w:val="single" w:color="auto" w:sz="8" w:space="0"/>
            </w:tcBorders>
            <w:noWrap w:val="0"/>
            <w:vAlign w:val="center"/>
          </w:tcPr>
          <w:p w14:paraId="22D7E028">
            <w:pPr>
              <w:pStyle w:val="27"/>
              <w:ind w:firstLine="0" w:firstLineChars="0"/>
              <w:jc w:val="center"/>
              <w:rPr>
                <w:color w:val="auto"/>
                <w:szCs w:val="18"/>
                <w:highlight w:val="none"/>
              </w:rPr>
            </w:pPr>
            <w:r>
              <w:rPr>
                <w:rFonts w:hint="eastAsia"/>
                <w:color w:val="auto"/>
                <w:szCs w:val="18"/>
                <w:highlight w:val="none"/>
              </w:rPr>
              <w:t>出厂检验</w:t>
            </w:r>
          </w:p>
        </w:tc>
        <w:tc>
          <w:tcPr>
            <w:tcW w:w="1206" w:type="dxa"/>
            <w:tcBorders>
              <w:bottom w:val="single" w:color="auto" w:sz="8" w:space="0"/>
            </w:tcBorders>
            <w:noWrap w:val="0"/>
            <w:vAlign w:val="center"/>
          </w:tcPr>
          <w:p w14:paraId="17062CD3">
            <w:pPr>
              <w:pStyle w:val="27"/>
              <w:ind w:firstLine="0" w:firstLineChars="0"/>
              <w:jc w:val="center"/>
              <w:rPr>
                <w:color w:val="auto"/>
                <w:szCs w:val="18"/>
                <w:highlight w:val="none"/>
              </w:rPr>
            </w:pPr>
            <w:r>
              <w:rPr>
                <w:rFonts w:hint="eastAsia"/>
                <w:color w:val="auto"/>
                <w:szCs w:val="18"/>
                <w:highlight w:val="none"/>
              </w:rPr>
              <w:t>型式试验</w:t>
            </w:r>
          </w:p>
        </w:tc>
      </w:tr>
      <w:tr w14:paraId="55732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8" w:space="0"/>
            </w:tcBorders>
            <w:noWrap w:val="0"/>
            <w:vAlign w:val="center"/>
          </w:tcPr>
          <w:p w14:paraId="1F801E5C">
            <w:pPr>
              <w:pStyle w:val="27"/>
              <w:numPr>
                <w:ilvl w:val="0"/>
                <w:numId w:val="21"/>
              </w:numPr>
              <w:ind w:left="425" w:leftChars="0" w:hanging="425" w:firstLineChars="0"/>
              <w:jc w:val="center"/>
              <w:rPr>
                <w:rFonts w:hint="eastAsia" w:eastAsia="宋体"/>
                <w:color w:val="auto"/>
                <w:szCs w:val="18"/>
                <w:highlight w:val="none"/>
                <w:lang w:val="en-US" w:eastAsia="zh-CN"/>
              </w:rPr>
            </w:pPr>
          </w:p>
        </w:tc>
        <w:tc>
          <w:tcPr>
            <w:tcW w:w="2657" w:type="dxa"/>
            <w:tcBorders>
              <w:top w:val="single" w:color="auto" w:sz="8" w:space="0"/>
            </w:tcBorders>
            <w:noWrap w:val="0"/>
            <w:vAlign w:val="center"/>
          </w:tcPr>
          <w:p w14:paraId="684172CC">
            <w:pPr>
              <w:pStyle w:val="27"/>
              <w:ind w:firstLine="0" w:firstLineChars="0"/>
              <w:jc w:val="center"/>
              <w:rPr>
                <w:rFonts w:hint="eastAsia" w:eastAsia="宋体"/>
                <w:color w:val="auto"/>
                <w:szCs w:val="18"/>
                <w:highlight w:val="none"/>
                <w:lang w:eastAsia="zh-CN"/>
              </w:rPr>
            </w:pPr>
            <w:r>
              <w:rPr>
                <w:rFonts w:hint="eastAsia" w:eastAsia="宋体"/>
                <w:color w:val="auto"/>
                <w:szCs w:val="18"/>
                <w:highlight w:val="none"/>
                <w:lang w:eastAsia="zh-CN"/>
              </w:rPr>
              <w:t>车辆识别代号（</w:t>
            </w:r>
            <w:r>
              <w:rPr>
                <w:rFonts w:hint="eastAsia" w:eastAsia="宋体"/>
                <w:color w:val="auto"/>
                <w:szCs w:val="18"/>
                <w:highlight w:val="none"/>
                <w:lang w:val="en-US" w:eastAsia="zh-CN"/>
              </w:rPr>
              <w:t>VIN</w:t>
            </w:r>
            <w:r>
              <w:rPr>
                <w:rFonts w:hint="eastAsia" w:eastAsia="宋体"/>
                <w:color w:val="auto"/>
                <w:szCs w:val="18"/>
                <w:highlight w:val="none"/>
                <w:lang w:eastAsia="zh-CN"/>
              </w:rPr>
              <w:t>）</w:t>
            </w:r>
          </w:p>
        </w:tc>
        <w:tc>
          <w:tcPr>
            <w:tcW w:w="1729" w:type="dxa"/>
            <w:tcBorders>
              <w:top w:val="single" w:color="auto" w:sz="8" w:space="0"/>
            </w:tcBorders>
            <w:noWrap w:val="0"/>
            <w:vAlign w:val="center"/>
          </w:tcPr>
          <w:p w14:paraId="7E6D9353">
            <w:pPr>
              <w:pStyle w:val="27"/>
              <w:ind w:firstLine="0" w:firstLineChars="0"/>
              <w:jc w:val="center"/>
              <w:rPr>
                <w:rFonts w:hint="default" w:eastAsia="宋体"/>
                <w:color w:val="auto"/>
                <w:szCs w:val="18"/>
                <w:highlight w:val="none"/>
                <w:lang w:val="en-US" w:eastAsia="zh-CN"/>
              </w:rPr>
            </w:pPr>
            <w:r>
              <w:rPr>
                <w:rFonts w:hint="eastAsia"/>
                <w:color w:val="auto"/>
                <w:szCs w:val="18"/>
                <w:highlight w:val="none"/>
                <w:lang w:val="en-US" w:eastAsia="zh-CN"/>
              </w:rPr>
              <w:t>6.1</w:t>
            </w:r>
          </w:p>
        </w:tc>
        <w:tc>
          <w:tcPr>
            <w:tcW w:w="2040" w:type="dxa"/>
            <w:tcBorders>
              <w:top w:val="single" w:color="auto" w:sz="8" w:space="0"/>
            </w:tcBorders>
            <w:noWrap w:val="0"/>
            <w:vAlign w:val="center"/>
          </w:tcPr>
          <w:p w14:paraId="3B3FE497">
            <w:pPr>
              <w:pStyle w:val="27"/>
              <w:ind w:firstLine="0" w:firstLineChars="0"/>
              <w:jc w:val="center"/>
              <w:rPr>
                <w:rFonts w:hint="default" w:eastAsia="宋体"/>
                <w:color w:val="auto"/>
                <w:szCs w:val="18"/>
                <w:highlight w:val="none"/>
                <w:lang w:val="en-US" w:eastAsia="zh-CN"/>
              </w:rPr>
            </w:pPr>
            <w:r>
              <w:rPr>
                <w:rFonts w:hint="eastAsia"/>
                <w:color w:val="auto"/>
                <w:szCs w:val="18"/>
                <w:highlight w:val="none"/>
                <w:lang w:val="en-US" w:eastAsia="zh-CN"/>
              </w:rPr>
              <w:t>7.1</w:t>
            </w:r>
          </w:p>
        </w:tc>
        <w:tc>
          <w:tcPr>
            <w:tcW w:w="1160" w:type="dxa"/>
            <w:tcBorders>
              <w:top w:val="single" w:color="auto" w:sz="8" w:space="0"/>
            </w:tcBorders>
            <w:noWrap w:val="0"/>
            <w:vAlign w:val="center"/>
          </w:tcPr>
          <w:p w14:paraId="144E0AFE">
            <w:pPr>
              <w:pStyle w:val="27"/>
              <w:ind w:firstLine="0" w:firstLineChars="0"/>
              <w:jc w:val="center"/>
              <w:rPr>
                <w:color w:val="auto"/>
                <w:szCs w:val="18"/>
                <w:highlight w:val="none"/>
              </w:rPr>
            </w:pPr>
            <w:r>
              <w:rPr>
                <w:rFonts w:hint="eastAsia" w:ascii="微软雅黑" w:hAnsi="微软雅黑" w:eastAsia="微软雅黑" w:cs="微软雅黑"/>
                <w:color w:val="auto"/>
                <w:sz w:val="18"/>
                <w:szCs w:val="18"/>
                <w:highlight w:val="none"/>
              </w:rPr>
              <w:t>√</w:t>
            </w:r>
          </w:p>
        </w:tc>
        <w:tc>
          <w:tcPr>
            <w:tcW w:w="1206" w:type="dxa"/>
            <w:tcBorders>
              <w:top w:val="single" w:color="auto" w:sz="8" w:space="0"/>
            </w:tcBorders>
            <w:noWrap w:val="0"/>
            <w:vAlign w:val="center"/>
          </w:tcPr>
          <w:p w14:paraId="69705E40">
            <w:pPr>
              <w:pStyle w:val="27"/>
              <w:ind w:firstLine="0" w:firstLineChars="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p>
        </w:tc>
      </w:tr>
      <w:tr w14:paraId="2BEB5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8" w:space="0"/>
            </w:tcBorders>
            <w:noWrap w:val="0"/>
            <w:vAlign w:val="center"/>
          </w:tcPr>
          <w:p w14:paraId="6BEC1769">
            <w:pPr>
              <w:pStyle w:val="27"/>
              <w:numPr>
                <w:ilvl w:val="0"/>
                <w:numId w:val="21"/>
              </w:numPr>
              <w:ind w:left="425" w:leftChars="0" w:hanging="425" w:firstLineChars="0"/>
              <w:jc w:val="center"/>
              <w:rPr>
                <w:rFonts w:hint="eastAsia" w:eastAsia="宋体"/>
                <w:color w:val="auto"/>
                <w:szCs w:val="18"/>
                <w:highlight w:val="none"/>
                <w:lang w:val="en-US" w:eastAsia="zh-CN"/>
              </w:rPr>
            </w:pPr>
          </w:p>
        </w:tc>
        <w:tc>
          <w:tcPr>
            <w:tcW w:w="2657" w:type="dxa"/>
            <w:noWrap w:val="0"/>
            <w:vAlign w:val="center"/>
          </w:tcPr>
          <w:p w14:paraId="16F0C7FB">
            <w:pPr>
              <w:pStyle w:val="27"/>
              <w:ind w:firstLine="0" w:firstLineChars="0"/>
              <w:jc w:val="center"/>
              <w:rPr>
                <w:rFonts w:hint="default" w:eastAsia="宋体"/>
                <w:color w:val="auto"/>
                <w:szCs w:val="18"/>
                <w:highlight w:val="none"/>
                <w:lang w:val="en-US" w:eastAsia="zh-CN"/>
              </w:rPr>
            </w:pPr>
            <w:r>
              <w:rPr>
                <w:rFonts w:hint="eastAsia"/>
                <w:color w:val="auto"/>
                <w:szCs w:val="18"/>
                <w:highlight w:val="none"/>
                <w:lang w:val="en-US" w:eastAsia="zh-CN"/>
              </w:rPr>
              <w:t>车辆铭牌</w:t>
            </w:r>
          </w:p>
        </w:tc>
        <w:tc>
          <w:tcPr>
            <w:tcW w:w="1729" w:type="dxa"/>
            <w:tcBorders>
              <w:top w:val="single" w:color="auto" w:sz="8" w:space="0"/>
            </w:tcBorders>
            <w:noWrap w:val="0"/>
            <w:vAlign w:val="center"/>
          </w:tcPr>
          <w:p w14:paraId="2CA693FD">
            <w:pPr>
              <w:pStyle w:val="27"/>
              <w:ind w:firstLine="0" w:firstLineChars="0"/>
              <w:jc w:val="center"/>
              <w:rPr>
                <w:rFonts w:hint="default" w:eastAsia="宋体"/>
                <w:color w:val="auto"/>
                <w:szCs w:val="18"/>
                <w:highlight w:val="none"/>
                <w:lang w:val="en-US" w:eastAsia="zh-CN"/>
              </w:rPr>
            </w:pPr>
            <w:r>
              <w:rPr>
                <w:rFonts w:hint="eastAsia"/>
                <w:color w:val="auto"/>
                <w:szCs w:val="18"/>
                <w:highlight w:val="none"/>
                <w:lang w:val="en-US" w:eastAsia="zh-CN"/>
              </w:rPr>
              <w:t>6</w:t>
            </w:r>
            <w:r>
              <w:rPr>
                <w:rFonts w:hint="eastAsia" w:eastAsia="宋体"/>
                <w:color w:val="auto"/>
                <w:szCs w:val="18"/>
                <w:highlight w:val="none"/>
                <w:lang w:val="en-US" w:eastAsia="zh-CN"/>
              </w:rPr>
              <w:t>.2</w:t>
            </w:r>
          </w:p>
        </w:tc>
        <w:tc>
          <w:tcPr>
            <w:tcW w:w="2040" w:type="dxa"/>
            <w:tcBorders>
              <w:top w:val="single" w:color="auto" w:sz="8" w:space="0"/>
            </w:tcBorders>
            <w:noWrap w:val="0"/>
            <w:vAlign w:val="center"/>
          </w:tcPr>
          <w:p w14:paraId="607088F6">
            <w:pPr>
              <w:pStyle w:val="27"/>
              <w:ind w:firstLine="0" w:firstLineChars="0"/>
              <w:jc w:val="center"/>
              <w:rPr>
                <w:rFonts w:hint="default" w:eastAsia="宋体"/>
                <w:color w:val="auto"/>
                <w:szCs w:val="18"/>
                <w:highlight w:val="none"/>
                <w:lang w:val="en-US" w:eastAsia="zh-CN"/>
              </w:rPr>
            </w:pPr>
            <w:r>
              <w:rPr>
                <w:rFonts w:hint="eastAsia"/>
                <w:color w:val="auto"/>
                <w:szCs w:val="18"/>
                <w:highlight w:val="none"/>
                <w:lang w:val="en-US" w:eastAsia="zh-CN"/>
              </w:rPr>
              <w:t>7</w:t>
            </w:r>
            <w:r>
              <w:rPr>
                <w:rFonts w:hint="eastAsia" w:eastAsia="宋体"/>
                <w:color w:val="auto"/>
                <w:szCs w:val="18"/>
                <w:highlight w:val="none"/>
                <w:lang w:val="en-US" w:eastAsia="zh-CN"/>
              </w:rPr>
              <w:t>.2</w:t>
            </w:r>
          </w:p>
        </w:tc>
        <w:tc>
          <w:tcPr>
            <w:tcW w:w="1160" w:type="dxa"/>
            <w:tcBorders>
              <w:top w:val="single" w:color="auto" w:sz="8" w:space="0"/>
            </w:tcBorders>
            <w:noWrap w:val="0"/>
            <w:vAlign w:val="center"/>
          </w:tcPr>
          <w:p w14:paraId="34CEE9FC">
            <w:pPr>
              <w:pStyle w:val="27"/>
              <w:ind w:firstLine="0" w:firstLineChars="0"/>
              <w:jc w:val="center"/>
              <w:rPr>
                <w:color w:val="auto"/>
                <w:szCs w:val="18"/>
                <w:highlight w:val="none"/>
              </w:rPr>
            </w:pPr>
            <w:r>
              <w:rPr>
                <w:rFonts w:hint="eastAsia"/>
                <w:color w:val="auto"/>
                <w:szCs w:val="18"/>
                <w:highlight w:val="none"/>
                <w:lang w:val="en-US" w:eastAsia="zh-CN"/>
              </w:rPr>
              <w:t>-</w:t>
            </w:r>
          </w:p>
        </w:tc>
        <w:tc>
          <w:tcPr>
            <w:tcW w:w="1206" w:type="dxa"/>
            <w:tcBorders>
              <w:top w:val="single" w:color="auto" w:sz="8" w:space="0"/>
            </w:tcBorders>
            <w:noWrap w:val="0"/>
            <w:vAlign w:val="center"/>
          </w:tcPr>
          <w:p w14:paraId="40F2CFA7">
            <w:pPr>
              <w:pStyle w:val="27"/>
              <w:ind w:firstLine="0" w:firstLineChars="0"/>
              <w:jc w:val="center"/>
              <w:rPr>
                <w:color w:val="auto"/>
                <w:szCs w:val="18"/>
                <w:highlight w:val="none"/>
              </w:rPr>
            </w:pPr>
            <w:r>
              <w:rPr>
                <w:rFonts w:hint="eastAsia" w:ascii="微软雅黑" w:hAnsi="微软雅黑" w:eastAsia="微软雅黑" w:cs="微软雅黑"/>
                <w:color w:val="auto"/>
                <w:sz w:val="18"/>
                <w:szCs w:val="18"/>
                <w:highlight w:val="none"/>
              </w:rPr>
              <w:t>√</w:t>
            </w:r>
          </w:p>
        </w:tc>
      </w:tr>
      <w:tr w14:paraId="2897D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8" w:space="0"/>
            </w:tcBorders>
            <w:noWrap w:val="0"/>
            <w:vAlign w:val="center"/>
          </w:tcPr>
          <w:p w14:paraId="012F00FA">
            <w:pPr>
              <w:pStyle w:val="27"/>
              <w:numPr>
                <w:ilvl w:val="0"/>
                <w:numId w:val="21"/>
              </w:numPr>
              <w:ind w:left="425" w:leftChars="0" w:hanging="425" w:firstLineChars="0"/>
              <w:jc w:val="center"/>
              <w:rPr>
                <w:rFonts w:hint="eastAsia" w:eastAsia="宋体"/>
                <w:color w:val="auto"/>
                <w:szCs w:val="18"/>
                <w:highlight w:val="none"/>
                <w:lang w:val="en-US" w:eastAsia="zh-CN"/>
              </w:rPr>
            </w:pPr>
          </w:p>
        </w:tc>
        <w:tc>
          <w:tcPr>
            <w:tcW w:w="2657" w:type="dxa"/>
            <w:shd w:val="clear" w:color="auto" w:fill="auto"/>
            <w:noWrap w:val="0"/>
            <w:vAlign w:val="center"/>
          </w:tcPr>
          <w:p w14:paraId="36715515">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外廓尺寸</w:t>
            </w:r>
          </w:p>
        </w:tc>
        <w:tc>
          <w:tcPr>
            <w:tcW w:w="1729" w:type="dxa"/>
            <w:tcBorders>
              <w:top w:val="single" w:color="auto" w:sz="8" w:space="0"/>
            </w:tcBorders>
            <w:shd w:val="clear" w:color="auto" w:fill="auto"/>
            <w:noWrap w:val="0"/>
            <w:vAlign w:val="center"/>
          </w:tcPr>
          <w:p w14:paraId="1E6CDF07">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6.3</w:t>
            </w:r>
          </w:p>
        </w:tc>
        <w:tc>
          <w:tcPr>
            <w:tcW w:w="2040" w:type="dxa"/>
            <w:tcBorders>
              <w:top w:val="single" w:color="auto" w:sz="8" w:space="0"/>
            </w:tcBorders>
            <w:shd w:val="clear" w:color="auto" w:fill="auto"/>
            <w:noWrap w:val="0"/>
            <w:vAlign w:val="center"/>
          </w:tcPr>
          <w:p w14:paraId="5967A3AD">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7.3</w:t>
            </w:r>
          </w:p>
        </w:tc>
        <w:tc>
          <w:tcPr>
            <w:tcW w:w="1160" w:type="dxa"/>
            <w:tcBorders>
              <w:top w:val="single" w:color="auto" w:sz="8" w:space="0"/>
            </w:tcBorders>
            <w:shd w:val="clear" w:color="auto" w:fill="auto"/>
            <w:noWrap w:val="0"/>
            <w:vAlign w:val="center"/>
          </w:tcPr>
          <w:p w14:paraId="1A7B64D1">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ascii="微软雅黑" w:hAnsi="微软雅黑" w:eastAsia="微软雅黑" w:cs="微软雅黑"/>
                <w:color w:val="auto"/>
                <w:sz w:val="18"/>
                <w:szCs w:val="18"/>
                <w:highlight w:val="none"/>
              </w:rPr>
              <w:t>√</w:t>
            </w:r>
          </w:p>
        </w:tc>
        <w:tc>
          <w:tcPr>
            <w:tcW w:w="1206" w:type="dxa"/>
            <w:tcBorders>
              <w:top w:val="single" w:color="auto" w:sz="8" w:space="0"/>
            </w:tcBorders>
            <w:shd w:val="clear" w:color="auto" w:fill="auto"/>
            <w:noWrap w:val="0"/>
            <w:vAlign w:val="center"/>
          </w:tcPr>
          <w:p w14:paraId="28B53E18">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17E84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21A601B1">
            <w:pPr>
              <w:pStyle w:val="27"/>
              <w:numPr>
                <w:ilvl w:val="0"/>
                <w:numId w:val="21"/>
              </w:numPr>
              <w:ind w:left="425" w:leftChars="0" w:hanging="425" w:firstLineChars="0"/>
              <w:jc w:val="center"/>
              <w:rPr>
                <w:rFonts w:hint="eastAsia" w:eastAsia="宋体"/>
                <w:color w:val="auto"/>
                <w:szCs w:val="18"/>
                <w:highlight w:val="none"/>
                <w:lang w:val="en-US" w:eastAsia="zh-CN"/>
              </w:rPr>
            </w:pPr>
          </w:p>
        </w:tc>
        <w:tc>
          <w:tcPr>
            <w:tcW w:w="2657" w:type="dxa"/>
            <w:shd w:val="clear" w:color="auto" w:fill="auto"/>
            <w:noWrap w:val="0"/>
            <w:vAlign w:val="center"/>
          </w:tcPr>
          <w:p w14:paraId="76D9E961">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质量参数</w:t>
            </w:r>
          </w:p>
        </w:tc>
        <w:tc>
          <w:tcPr>
            <w:tcW w:w="1729" w:type="dxa"/>
            <w:shd w:val="clear" w:color="auto" w:fill="auto"/>
            <w:noWrap w:val="0"/>
            <w:vAlign w:val="center"/>
          </w:tcPr>
          <w:p w14:paraId="58B2DF2B">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6.4</w:t>
            </w:r>
          </w:p>
        </w:tc>
        <w:tc>
          <w:tcPr>
            <w:tcW w:w="2040" w:type="dxa"/>
            <w:shd w:val="clear" w:color="auto" w:fill="auto"/>
            <w:noWrap w:val="0"/>
            <w:vAlign w:val="center"/>
          </w:tcPr>
          <w:p w14:paraId="71DF482D">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7.4</w:t>
            </w:r>
          </w:p>
        </w:tc>
        <w:tc>
          <w:tcPr>
            <w:tcW w:w="1160" w:type="dxa"/>
            <w:shd w:val="clear" w:color="auto" w:fill="auto"/>
            <w:noWrap w:val="0"/>
            <w:vAlign w:val="center"/>
          </w:tcPr>
          <w:p w14:paraId="694B1266">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ascii="微软雅黑" w:hAnsi="微软雅黑" w:eastAsia="微软雅黑" w:cs="微软雅黑"/>
                <w:color w:val="auto"/>
                <w:sz w:val="18"/>
                <w:szCs w:val="18"/>
                <w:highlight w:val="none"/>
              </w:rPr>
              <w:t>√</w:t>
            </w:r>
          </w:p>
        </w:tc>
        <w:tc>
          <w:tcPr>
            <w:tcW w:w="1206" w:type="dxa"/>
            <w:shd w:val="clear" w:color="auto" w:fill="auto"/>
            <w:noWrap w:val="0"/>
            <w:vAlign w:val="center"/>
          </w:tcPr>
          <w:p w14:paraId="66B40CA6">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31E7E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31BDB3D2">
            <w:pPr>
              <w:pStyle w:val="27"/>
              <w:numPr>
                <w:ilvl w:val="0"/>
                <w:numId w:val="21"/>
              </w:numPr>
              <w:ind w:left="425" w:leftChars="0" w:hanging="425" w:firstLineChars="0"/>
              <w:jc w:val="center"/>
              <w:rPr>
                <w:rFonts w:hint="eastAsia" w:eastAsia="宋体"/>
                <w:color w:val="auto"/>
                <w:szCs w:val="18"/>
                <w:highlight w:val="none"/>
                <w:lang w:val="en-US" w:eastAsia="zh-CN"/>
              </w:rPr>
            </w:pPr>
          </w:p>
        </w:tc>
        <w:tc>
          <w:tcPr>
            <w:tcW w:w="2657" w:type="dxa"/>
            <w:shd w:val="clear" w:color="auto" w:fill="auto"/>
            <w:noWrap w:val="0"/>
            <w:vAlign w:val="center"/>
          </w:tcPr>
          <w:p w14:paraId="52CE994C">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紧急断电装置</w:t>
            </w:r>
          </w:p>
        </w:tc>
        <w:tc>
          <w:tcPr>
            <w:tcW w:w="1729" w:type="dxa"/>
            <w:tcBorders>
              <w:bottom w:val="single" w:color="auto" w:sz="8" w:space="0"/>
            </w:tcBorders>
            <w:shd w:val="clear" w:color="auto" w:fill="auto"/>
            <w:noWrap w:val="0"/>
            <w:vAlign w:val="center"/>
          </w:tcPr>
          <w:p w14:paraId="1030420E">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6.5</w:t>
            </w:r>
          </w:p>
        </w:tc>
        <w:tc>
          <w:tcPr>
            <w:tcW w:w="2040" w:type="dxa"/>
            <w:tcBorders>
              <w:bottom w:val="single" w:color="auto" w:sz="8" w:space="0"/>
            </w:tcBorders>
            <w:shd w:val="clear" w:color="auto" w:fill="auto"/>
            <w:noWrap w:val="0"/>
            <w:vAlign w:val="center"/>
          </w:tcPr>
          <w:p w14:paraId="564DA4F5">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7.5</w:t>
            </w:r>
          </w:p>
        </w:tc>
        <w:tc>
          <w:tcPr>
            <w:tcW w:w="1160" w:type="dxa"/>
            <w:tcBorders>
              <w:bottom w:val="single" w:color="auto" w:sz="8" w:space="0"/>
            </w:tcBorders>
            <w:shd w:val="clear" w:color="auto" w:fill="auto"/>
            <w:noWrap w:val="0"/>
            <w:vAlign w:val="center"/>
          </w:tcPr>
          <w:p w14:paraId="7EEECD60">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250B820E">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4B542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39413B2B">
            <w:pPr>
              <w:pStyle w:val="27"/>
              <w:numPr>
                <w:ilvl w:val="0"/>
                <w:numId w:val="21"/>
              </w:numPr>
              <w:ind w:left="425" w:leftChars="0" w:hanging="425" w:firstLineChars="0"/>
              <w:jc w:val="center"/>
              <w:rPr>
                <w:rFonts w:hint="eastAsia" w:eastAsia="宋体"/>
                <w:color w:val="auto"/>
                <w:szCs w:val="18"/>
                <w:highlight w:val="none"/>
                <w:lang w:val="en-US" w:eastAsia="zh-CN"/>
              </w:rPr>
            </w:pPr>
          </w:p>
        </w:tc>
        <w:tc>
          <w:tcPr>
            <w:tcW w:w="2657" w:type="dxa"/>
            <w:shd w:val="clear" w:color="auto" w:fill="auto"/>
            <w:noWrap w:val="0"/>
            <w:vAlign w:val="center"/>
          </w:tcPr>
          <w:p w14:paraId="498B3F88">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特殊安全</w:t>
            </w:r>
          </w:p>
        </w:tc>
        <w:tc>
          <w:tcPr>
            <w:tcW w:w="1729" w:type="dxa"/>
            <w:tcBorders>
              <w:bottom w:val="single" w:color="auto" w:sz="8" w:space="0"/>
            </w:tcBorders>
            <w:shd w:val="clear" w:color="auto" w:fill="auto"/>
            <w:noWrap w:val="0"/>
            <w:vAlign w:val="center"/>
          </w:tcPr>
          <w:p w14:paraId="512EEC02">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6.6</w:t>
            </w:r>
          </w:p>
        </w:tc>
        <w:tc>
          <w:tcPr>
            <w:tcW w:w="2040" w:type="dxa"/>
            <w:tcBorders>
              <w:bottom w:val="single" w:color="auto" w:sz="8" w:space="0"/>
            </w:tcBorders>
            <w:shd w:val="clear" w:color="auto" w:fill="auto"/>
            <w:noWrap w:val="0"/>
            <w:vAlign w:val="center"/>
          </w:tcPr>
          <w:p w14:paraId="3027FFD8">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7.6</w:t>
            </w:r>
          </w:p>
        </w:tc>
        <w:tc>
          <w:tcPr>
            <w:tcW w:w="1160" w:type="dxa"/>
            <w:tcBorders>
              <w:bottom w:val="single" w:color="auto" w:sz="8" w:space="0"/>
            </w:tcBorders>
            <w:shd w:val="clear" w:color="auto" w:fill="auto"/>
            <w:noWrap w:val="0"/>
            <w:vAlign w:val="center"/>
          </w:tcPr>
          <w:p w14:paraId="776757D1">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2ABD46D9">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0BA48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2893B9A0">
            <w:pPr>
              <w:pStyle w:val="27"/>
              <w:numPr>
                <w:ilvl w:val="0"/>
                <w:numId w:val="21"/>
              </w:numPr>
              <w:ind w:left="425" w:leftChars="0" w:hanging="425" w:firstLineChars="0"/>
              <w:jc w:val="center"/>
              <w:rPr>
                <w:rFonts w:hint="eastAsia" w:eastAsia="宋体"/>
                <w:color w:val="auto"/>
                <w:szCs w:val="18"/>
                <w:highlight w:val="none"/>
                <w:lang w:val="en-US" w:eastAsia="zh-CN"/>
              </w:rPr>
            </w:pPr>
          </w:p>
        </w:tc>
        <w:tc>
          <w:tcPr>
            <w:tcW w:w="2657" w:type="dxa"/>
            <w:shd w:val="clear" w:color="auto" w:fill="auto"/>
            <w:noWrap w:val="0"/>
            <w:vAlign w:val="center"/>
          </w:tcPr>
          <w:p w14:paraId="336B3604">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转向装置</w:t>
            </w:r>
          </w:p>
        </w:tc>
        <w:tc>
          <w:tcPr>
            <w:tcW w:w="1729" w:type="dxa"/>
            <w:tcBorders>
              <w:bottom w:val="single" w:color="auto" w:sz="8" w:space="0"/>
            </w:tcBorders>
            <w:shd w:val="clear" w:color="auto" w:fill="auto"/>
            <w:noWrap w:val="0"/>
            <w:vAlign w:val="center"/>
          </w:tcPr>
          <w:p w14:paraId="27F69297">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6.7</w:t>
            </w:r>
          </w:p>
        </w:tc>
        <w:tc>
          <w:tcPr>
            <w:tcW w:w="2040" w:type="dxa"/>
            <w:tcBorders>
              <w:bottom w:val="single" w:color="auto" w:sz="8" w:space="0"/>
            </w:tcBorders>
            <w:shd w:val="clear" w:color="auto" w:fill="auto"/>
            <w:noWrap w:val="0"/>
            <w:vAlign w:val="center"/>
          </w:tcPr>
          <w:p w14:paraId="1C35610D">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7.7</w:t>
            </w:r>
          </w:p>
        </w:tc>
        <w:tc>
          <w:tcPr>
            <w:tcW w:w="1160" w:type="dxa"/>
            <w:tcBorders>
              <w:bottom w:val="single" w:color="auto" w:sz="8" w:space="0"/>
            </w:tcBorders>
            <w:shd w:val="clear" w:color="auto" w:fill="auto"/>
            <w:noWrap w:val="0"/>
            <w:vAlign w:val="center"/>
          </w:tcPr>
          <w:p w14:paraId="69242303">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57A3ECAA">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3B776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7E692782">
            <w:pPr>
              <w:pStyle w:val="27"/>
              <w:numPr>
                <w:ilvl w:val="0"/>
                <w:numId w:val="21"/>
              </w:numPr>
              <w:ind w:left="425" w:leftChars="0" w:hanging="425" w:firstLineChars="0"/>
              <w:jc w:val="center"/>
              <w:rPr>
                <w:rFonts w:hint="eastAsia" w:eastAsia="宋体"/>
                <w:color w:val="auto"/>
                <w:szCs w:val="18"/>
                <w:highlight w:val="none"/>
                <w:lang w:val="en-US" w:eastAsia="zh-CN"/>
              </w:rPr>
            </w:pPr>
          </w:p>
        </w:tc>
        <w:tc>
          <w:tcPr>
            <w:tcW w:w="2657" w:type="dxa"/>
            <w:shd w:val="clear" w:color="auto" w:fill="auto"/>
            <w:noWrap w:val="0"/>
            <w:vAlign w:val="center"/>
          </w:tcPr>
          <w:p w14:paraId="4FD13FAD">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乘坐</w:t>
            </w:r>
          </w:p>
        </w:tc>
        <w:tc>
          <w:tcPr>
            <w:tcW w:w="1729" w:type="dxa"/>
            <w:tcBorders>
              <w:bottom w:val="single" w:color="auto" w:sz="8" w:space="0"/>
            </w:tcBorders>
            <w:shd w:val="clear" w:color="auto" w:fill="auto"/>
            <w:noWrap w:val="0"/>
            <w:vAlign w:val="center"/>
          </w:tcPr>
          <w:p w14:paraId="09EBDE13">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6.8</w:t>
            </w:r>
          </w:p>
        </w:tc>
        <w:tc>
          <w:tcPr>
            <w:tcW w:w="2040" w:type="dxa"/>
            <w:tcBorders>
              <w:bottom w:val="single" w:color="auto" w:sz="8" w:space="0"/>
            </w:tcBorders>
            <w:shd w:val="clear" w:color="auto" w:fill="auto"/>
            <w:noWrap w:val="0"/>
            <w:vAlign w:val="center"/>
          </w:tcPr>
          <w:p w14:paraId="4ED2790B">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7.8</w:t>
            </w:r>
          </w:p>
        </w:tc>
        <w:tc>
          <w:tcPr>
            <w:tcW w:w="1160" w:type="dxa"/>
            <w:tcBorders>
              <w:bottom w:val="single" w:color="auto" w:sz="8" w:space="0"/>
            </w:tcBorders>
            <w:shd w:val="clear" w:color="auto" w:fill="auto"/>
            <w:noWrap w:val="0"/>
            <w:vAlign w:val="center"/>
          </w:tcPr>
          <w:p w14:paraId="3A606BBB">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45D9D4E7">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22BA5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4D46CB4F">
            <w:pPr>
              <w:pStyle w:val="27"/>
              <w:numPr>
                <w:ilvl w:val="0"/>
                <w:numId w:val="21"/>
              </w:numPr>
              <w:ind w:left="425" w:leftChars="0" w:hanging="425" w:firstLineChars="0"/>
              <w:jc w:val="center"/>
              <w:rPr>
                <w:rFonts w:hint="eastAsia" w:eastAsia="宋体"/>
                <w:color w:val="auto"/>
                <w:szCs w:val="18"/>
                <w:highlight w:val="none"/>
                <w:lang w:val="en-US" w:eastAsia="zh-CN"/>
              </w:rPr>
            </w:pPr>
          </w:p>
        </w:tc>
        <w:tc>
          <w:tcPr>
            <w:tcW w:w="2657" w:type="dxa"/>
            <w:shd w:val="clear" w:color="auto" w:fill="auto"/>
            <w:noWrap w:val="0"/>
            <w:vAlign w:val="center"/>
          </w:tcPr>
          <w:p w14:paraId="66B10A81">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车速表</w:t>
            </w:r>
          </w:p>
        </w:tc>
        <w:tc>
          <w:tcPr>
            <w:tcW w:w="1729" w:type="dxa"/>
            <w:tcBorders>
              <w:bottom w:val="single" w:color="auto" w:sz="8" w:space="0"/>
            </w:tcBorders>
            <w:shd w:val="clear" w:color="auto" w:fill="auto"/>
            <w:noWrap w:val="0"/>
            <w:vAlign w:val="center"/>
          </w:tcPr>
          <w:p w14:paraId="123CE0F0">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6.9</w:t>
            </w:r>
          </w:p>
        </w:tc>
        <w:tc>
          <w:tcPr>
            <w:tcW w:w="2040" w:type="dxa"/>
            <w:tcBorders>
              <w:bottom w:val="single" w:color="auto" w:sz="8" w:space="0"/>
            </w:tcBorders>
            <w:shd w:val="clear" w:color="auto" w:fill="auto"/>
            <w:noWrap w:val="0"/>
            <w:vAlign w:val="center"/>
          </w:tcPr>
          <w:p w14:paraId="1575E801">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7.9</w:t>
            </w:r>
          </w:p>
        </w:tc>
        <w:tc>
          <w:tcPr>
            <w:tcW w:w="1160" w:type="dxa"/>
            <w:tcBorders>
              <w:bottom w:val="single" w:color="auto" w:sz="8" w:space="0"/>
            </w:tcBorders>
            <w:shd w:val="clear" w:color="auto" w:fill="auto"/>
            <w:noWrap w:val="0"/>
            <w:vAlign w:val="center"/>
          </w:tcPr>
          <w:p w14:paraId="62FA3745">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777E18EB">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14D52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37015B2B">
            <w:pPr>
              <w:pStyle w:val="27"/>
              <w:numPr>
                <w:ilvl w:val="0"/>
                <w:numId w:val="21"/>
              </w:numPr>
              <w:ind w:left="425" w:leftChars="0" w:hanging="425" w:firstLineChars="0"/>
              <w:jc w:val="center"/>
              <w:rPr>
                <w:rFonts w:hint="eastAsia" w:eastAsia="宋体"/>
                <w:color w:val="auto"/>
                <w:szCs w:val="18"/>
                <w:highlight w:val="none"/>
                <w:lang w:val="en-US" w:eastAsia="zh-CN"/>
              </w:rPr>
            </w:pPr>
          </w:p>
        </w:tc>
        <w:tc>
          <w:tcPr>
            <w:tcW w:w="2657" w:type="dxa"/>
            <w:shd w:val="clear" w:color="auto" w:fill="auto"/>
            <w:noWrap w:val="0"/>
            <w:vAlign w:val="center"/>
          </w:tcPr>
          <w:p w14:paraId="4852F2CF">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rPr>
              <w:t>操纵件、指示器及信号装置的图形符号</w:t>
            </w:r>
          </w:p>
        </w:tc>
        <w:tc>
          <w:tcPr>
            <w:tcW w:w="1729" w:type="dxa"/>
            <w:tcBorders>
              <w:bottom w:val="single" w:color="auto" w:sz="8" w:space="0"/>
            </w:tcBorders>
            <w:shd w:val="clear" w:color="auto" w:fill="auto"/>
            <w:noWrap w:val="0"/>
            <w:vAlign w:val="center"/>
          </w:tcPr>
          <w:p w14:paraId="59A58DB2">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6.10</w:t>
            </w:r>
          </w:p>
        </w:tc>
        <w:tc>
          <w:tcPr>
            <w:tcW w:w="2040" w:type="dxa"/>
            <w:tcBorders>
              <w:bottom w:val="single" w:color="auto" w:sz="8" w:space="0"/>
            </w:tcBorders>
            <w:shd w:val="clear" w:color="auto" w:fill="auto"/>
            <w:noWrap w:val="0"/>
            <w:vAlign w:val="center"/>
          </w:tcPr>
          <w:p w14:paraId="3A228A74">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7.10</w:t>
            </w:r>
          </w:p>
        </w:tc>
        <w:tc>
          <w:tcPr>
            <w:tcW w:w="1160" w:type="dxa"/>
            <w:tcBorders>
              <w:bottom w:val="single" w:color="auto" w:sz="8" w:space="0"/>
            </w:tcBorders>
            <w:shd w:val="clear" w:color="auto" w:fill="auto"/>
            <w:noWrap w:val="0"/>
            <w:vAlign w:val="center"/>
          </w:tcPr>
          <w:p w14:paraId="7605B18F">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3487D896">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5C600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6227C802">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7910CB6A">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喇叭</w:t>
            </w:r>
          </w:p>
        </w:tc>
        <w:tc>
          <w:tcPr>
            <w:tcW w:w="1729" w:type="dxa"/>
            <w:tcBorders>
              <w:bottom w:val="single" w:color="auto" w:sz="8" w:space="0"/>
            </w:tcBorders>
            <w:shd w:val="clear" w:color="auto" w:fill="auto"/>
            <w:noWrap w:val="0"/>
            <w:vAlign w:val="center"/>
          </w:tcPr>
          <w:p w14:paraId="6C1893BD">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6.11</w:t>
            </w:r>
          </w:p>
        </w:tc>
        <w:tc>
          <w:tcPr>
            <w:tcW w:w="2040" w:type="dxa"/>
            <w:tcBorders>
              <w:bottom w:val="single" w:color="auto" w:sz="8" w:space="0"/>
            </w:tcBorders>
            <w:shd w:val="clear" w:color="auto" w:fill="auto"/>
            <w:noWrap w:val="0"/>
            <w:vAlign w:val="center"/>
          </w:tcPr>
          <w:p w14:paraId="258FA497">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7.11</w:t>
            </w:r>
          </w:p>
        </w:tc>
        <w:tc>
          <w:tcPr>
            <w:tcW w:w="1160" w:type="dxa"/>
            <w:tcBorders>
              <w:bottom w:val="single" w:color="auto" w:sz="8" w:space="0"/>
            </w:tcBorders>
            <w:shd w:val="clear" w:color="auto" w:fill="auto"/>
            <w:noWrap w:val="0"/>
            <w:vAlign w:val="center"/>
          </w:tcPr>
          <w:p w14:paraId="5C669CA2">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76D80CE5">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6B62B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6079860B">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53507888">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rPr>
              <w:t>间接视野装置</w:t>
            </w:r>
          </w:p>
        </w:tc>
        <w:tc>
          <w:tcPr>
            <w:tcW w:w="1729" w:type="dxa"/>
            <w:tcBorders>
              <w:bottom w:val="single" w:color="auto" w:sz="8" w:space="0"/>
            </w:tcBorders>
            <w:shd w:val="clear" w:color="auto" w:fill="auto"/>
            <w:noWrap w:val="0"/>
            <w:vAlign w:val="center"/>
          </w:tcPr>
          <w:p w14:paraId="0040ECFA">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6.12</w:t>
            </w:r>
          </w:p>
        </w:tc>
        <w:tc>
          <w:tcPr>
            <w:tcW w:w="2040" w:type="dxa"/>
            <w:tcBorders>
              <w:bottom w:val="single" w:color="auto" w:sz="8" w:space="0"/>
            </w:tcBorders>
            <w:shd w:val="clear" w:color="auto" w:fill="auto"/>
            <w:noWrap w:val="0"/>
            <w:vAlign w:val="center"/>
          </w:tcPr>
          <w:p w14:paraId="15735430">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7.12</w:t>
            </w:r>
          </w:p>
        </w:tc>
        <w:tc>
          <w:tcPr>
            <w:tcW w:w="1160" w:type="dxa"/>
            <w:tcBorders>
              <w:bottom w:val="single" w:color="auto" w:sz="8" w:space="0"/>
            </w:tcBorders>
            <w:shd w:val="clear" w:color="auto" w:fill="auto"/>
            <w:noWrap w:val="0"/>
            <w:vAlign w:val="center"/>
          </w:tcPr>
          <w:p w14:paraId="41A9AFAF">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3530FE70">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03103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3D5C1AA5">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581108A2">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rPr>
              <w:t>驻车稳定角</w:t>
            </w:r>
          </w:p>
        </w:tc>
        <w:tc>
          <w:tcPr>
            <w:tcW w:w="1729" w:type="dxa"/>
            <w:tcBorders>
              <w:bottom w:val="single" w:color="auto" w:sz="8" w:space="0"/>
            </w:tcBorders>
            <w:shd w:val="clear" w:color="auto" w:fill="auto"/>
            <w:noWrap w:val="0"/>
            <w:vAlign w:val="center"/>
          </w:tcPr>
          <w:p w14:paraId="641A04F5">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6.13</w:t>
            </w:r>
          </w:p>
        </w:tc>
        <w:tc>
          <w:tcPr>
            <w:tcW w:w="2040" w:type="dxa"/>
            <w:tcBorders>
              <w:bottom w:val="single" w:color="auto" w:sz="8" w:space="0"/>
            </w:tcBorders>
            <w:shd w:val="clear" w:color="auto" w:fill="auto"/>
            <w:noWrap w:val="0"/>
            <w:vAlign w:val="center"/>
          </w:tcPr>
          <w:p w14:paraId="16F3F93F">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7.13</w:t>
            </w:r>
          </w:p>
        </w:tc>
        <w:tc>
          <w:tcPr>
            <w:tcW w:w="1160" w:type="dxa"/>
            <w:tcBorders>
              <w:bottom w:val="single" w:color="auto" w:sz="8" w:space="0"/>
            </w:tcBorders>
            <w:shd w:val="clear" w:color="auto" w:fill="auto"/>
            <w:noWrap w:val="0"/>
            <w:vAlign w:val="center"/>
          </w:tcPr>
          <w:p w14:paraId="46CF6E2D">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678873AD">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15834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743DB1CB">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1AC7D27C">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rPr>
              <w:t>防盗装置</w:t>
            </w:r>
          </w:p>
        </w:tc>
        <w:tc>
          <w:tcPr>
            <w:tcW w:w="1729" w:type="dxa"/>
            <w:tcBorders>
              <w:bottom w:val="single" w:color="auto" w:sz="8" w:space="0"/>
            </w:tcBorders>
            <w:shd w:val="clear" w:color="auto" w:fill="auto"/>
            <w:noWrap w:val="0"/>
            <w:vAlign w:val="center"/>
          </w:tcPr>
          <w:p w14:paraId="574A4668">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6.14</w:t>
            </w:r>
          </w:p>
        </w:tc>
        <w:tc>
          <w:tcPr>
            <w:tcW w:w="2040" w:type="dxa"/>
            <w:tcBorders>
              <w:bottom w:val="single" w:color="auto" w:sz="8" w:space="0"/>
            </w:tcBorders>
            <w:shd w:val="clear" w:color="auto" w:fill="auto"/>
            <w:noWrap w:val="0"/>
            <w:vAlign w:val="center"/>
          </w:tcPr>
          <w:p w14:paraId="014A7D4A">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7.14</w:t>
            </w:r>
          </w:p>
        </w:tc>
        <w:tc>
          <w:tcPr>
            <w:tcW w:w="1160" w:type="dxa"/>
            <w:tcBorders>
              <w:bottom w:val="single" w:color="auto" w:sz="8" w:space="0"/>
            </w:tcBorders>
            <w:shd w:val="clear" w:color="auto" w:fill="auto"/>
            <w:noWrap w:val="0"/>
            <w:vAlign w:val="center"/>
          </w:tcPr>
          <w:p w14:paraId="1F0D1A4D">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5095C171">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392DD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06AEF616">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185C9C6F">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rPr>
              <w:t>外部凸出物</w:t>
            </w:r>
          </w:p>
        </w:tc>
        <w:tc>
          <w:tcPr>
            <w:tcW w:w="1729" w:type="dxa"/>
            <w:tcBorders>
              <w:bottom w:val="single" w:color="auto" w:sz="8" w:space="0"/>
            </w:tcBorders>
            <w:shd w:val="clear" w:color="auto" w:fill="auto"/>
            <w:noWrap w:val="0"/>
            <w:vAlign w:val="center"/>
          </w:tcPr>
          <w:p w14:paraId="37F7D954">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6.15</w:t>
            </w:r>
          </w:p>
        </w:tc>
        <w:tc>
          <w:tcPr>
            <w:tcW w:w="2040" w:type="dxa"/>
            <w:tcBorders>
              <w:bottom w:val="single" w:color="auto" w:sz="8" w:space="0"/>
            </w:tcBorders>
            <w:shd w:val="clear" w:color="auto" w:fill="auto"/>
            <w:noWrap w:val="0"/>
            <w:vAlign w:val="center"/>
          </w:tcPr>
          <w:p w14:paraId="7451F87F">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7.15</w:t>
            </w:r>
          </w:p>
        </w:tc>
        <w:tc>
          <w:tcPr>
            <w:tcW w:w="1160" w:type="dxa"/>
            <w:tcBorders>
              <w:bottom w:val="single" w:color="auto" w:sz="8" w:space="0"/>
            </w:tcBorders>
            <w:shd w:val="clear" w:color="auto" w:fill="auto"/>
            <w:noWrap w:val="0"/>
            <w:vAlign w:val="center"/>
          </w:tcPr>
          <w:p w14:paraId="1117D37E">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68A6CD70">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3B016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bottom w:val="single" w:color="auto" w:sz="8" w:space="0"/>
            </w:tcBorders>
            <w:noWrap w:val="0"/>
            <w:vAlign w:val="center"/>
          </w:tcPr>
          <w:p w14:paraId="4CAE7665">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13FC209E">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制动性能</w:t>
            </w:r>
          </w:p>
        </w:tc>
        <w:tc>
          <w:tcPr>
            <w:tcW w:w="1729" w:type="dxa"/>
            <w:tcBorders>
              <w:bottom w:val="single" w:color="auto" w:sz="8" w:space="0"/>
            </w:tcBorders>
            <w:shd w:val="clear" w:color="auto" w:fill="auto"/>
            <w:noWrap w:val="0"/>
            <w:vAlign w:val="center"/>
          </w:tcPr>
          <w:p w14:paraId="6FAC0DB9">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6.16</w:t>
            </w:r>
          </w:p>
        </w:tc>
        <w:tc>
          <w:tcPr>
            <w:tcW w:w="2040" w:type="dxa"/>
            <w:tcBorders>
              <w:bottom w:val="single" w:color="auto" w:sz="8" w:space="0"/>
            </w:tcBorders>
            <w:shd w:val="clear" w:color="auto" w:fill="auto"/>
            <w:noWrap w:val="0"/>
            <w:vAlign w:val="center"/>
          </w:tcPr>
          <w:p w14:paraId="7D783D92">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7.16</w:t>
            </w:r>
          </w:p>
        </w:tc>
        <w:tc>
          <w:tcPr>
            <w:tcW w:w="1160" w:type="dxa"/>
            <w:tcBorders>
              <w:bottom w:val="single" w:color="auto" w:sz="8" w:space="0"/>
            </w:tcBorders>
            <w:shd w:val="clear" w:color="auto" w:fill="auto"/>
            <w:noWrap w:val="0"/>
            <w:vAlign w:val="center"/>
          </w:tcPr>
          <w:p w14:paraId="46F89D70">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tcBorders>
              <w:bottom w:val="single" w:color="auto" w:sz="8" w:space="0"/>
            </w:tcBorders>
            <w:shd w:val="clear" w:color="auto" w:fill="auto"/>
            <w:noWrap w:val="0"/>
            <w:vAlign w:val="center"/>
          </w:tcPr>
          <w:p w14:paraId="44DBB33E">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76F63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5A3704A9">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tcBorders>
              <w:top w:val="single" w:color="auto" w:sz="4" w:space="0"/>
            </w:tcBorders>
            <w:shd w:val="clear" w:color="auto" w:fill="auto"/>
            <w:noWrap w:val="0"/>
            <w:vAlign w:val="center"/>
          </w:tcPr>
          <w:p w14:paraId="144776DD">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rPr>
              <w:t>无线电骚扰特性</w:t>
            </w:r>
          </w:p>
        </w:tc>
        <w:tc>
          <w:tcPr>
            <w:tcW w:w="1729" w:type="dxa"/>
            <w:shd w:val="clear" w:color="auto" w:fill="auto"/>
            <w:noWrap w:val="0"/>
            <w:vAlign w:val="center"/>
          </w:tcPr>
          <w:p w14:paraId="03BE4E66">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6.17</w:t>
            </w:r>
          </w:p>
        </w:tc>
        <w:tc>
          <w:tcPr>
            <w:tcW w:w="2040" w:type="dxa"/>
            <w:shd w:val="clear" w:color="auto" w:fill="auto"/>
            <w:noWrap w:val="0"/>
            <w:vAlign w:val="center"/>
          </w:tcPr>
          <w:p w14:paraId="3F3A5B14">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7.17</w:t>
            </w:r>
          </w:p>
        </w:tc>
        <w:tc>
          <w:tcPr>
            <w:tcW w:w="1160" w:type="dxa"/>
            <w:shd w:val="clear" w:color="auto" w:fill="auto"/>
            <w:noWrap w:val="0"/>
            <w:vAlign w:val="center"/>
          </w:tcPr>
          <w:p w14:paraId="5A9033FA">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shd w:val="clear" w:color="auto" w:fill="auto"/>
            <w:noWrap w:val="0"/>
            <w:vAlign w:val="center"/>
          </w:tcPr>
          <w:p w14:paraId="03CA9E54">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2A7DE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09B993BE">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2DD52321">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rPr>
              <w:t>电磁兼容性</w:t>
            </w:r>
          </w:p>
        </w:tc>
        <w:tc>
          <w:tcPr>
            <w:tcW w:w="1729" w:type="dxa"/>
            <w:shd w:val="clear" w:color="auto" w:fill="auto"/>
            <w:noWrap w:val="0"/>
            <w:vAlign w:val="center"/>
          </w:tcPr>
          <w:p w14:paraId="13903247">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6.18</w:t>
            </w:r>
          </w:p>
        </w:tc>
        <w:tc>
          <w:tcPr>
            <w:tcW w:w="2040" w:type="dxa"/>
            <w:shd w:val="clear" w:color="auto" w:fill="auto"/>
            <w:noWrap w:val="0"/>
            <w:vAlign w:val="center"/>
          </w:tcPr>
          <w:p w14:paraId="1A1514BF">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7.18</w:t>
            </w:r>
          </w:p>
        </w:tc>
        <w:tc>
          <w:tcPr>
            <w:tcW w:w="1160" w:type="dxa"/>
            <w:shd w:val="clear" w:color="auto" w:fill="auto"/>
            <w:noWrap w:val="0"/>
            <w:vAlign w:val="center"/>
          </w:tcPr>
          <w:p w14:paraId="2371680D">
            <w:pPr>
              <w:pStyle w:val="27"/>
              <w:ind w:firstLine="0" w:firstLineChars="0"/>
              <w:jc w:val="center"/>
              <w:rPr>
                <w:rFonts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w:t>
            </w:r>
          </w:p>
        </w:tc>
        <w:tc>
          <w:tcPr>
            <w:tcW w:w="1206" w:type="dxa"/>
            <w:shd w:val="clear" w:color="auto" w:fill="auto"/>
            <w:noWrap w:val="0"/>
            <w:vAlign w:val="center"/>
          </w:tcPr>
          <w:p w14:paraId="1B85DEF0">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29386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7615306F">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4993901A">
            <w:pPr>
              <w:pStyle w:val="27"/>
              <w:ind w:firstLine="0" w:firstLineChars="0"/>
              <w:jc w:val="center"/>
              <w:rPr>
                <w:rFonts w:hint="eastAsia"/>
                <w:color w:val="auto"/>
                <w:szCs w:val="18"/>
                <w:highlight w:val="none"/>
              </w:rPr>
            </w:pPr>
            <w:r>
              <w:rPr>
                <w:rFonts w:hint="eastAsia"/>
                <w:color w:val="auto"/>
                <w:szCs w:val="18"/>
                <w:highlight w:val="none"/>
                <w:lang w:val="en-US" w:eastAsia="zh-CN"/>
              </w:rPr>
              <w:t>灯光与信号装置</w:t>
            </w:r>
          </w:p>
        </w:tc>
        <w:tc>
          <w:tcPr>
            <w:tcW w:w="1729" w:type="dxa"/>
            <w:shd w:val="clear" w:color="auto" w:fill="auto"/>
            <w:noWrap w:val="0"/>
            <w:vAlign w:val="center"/>
          </w:tcPr>
          <w:p w14:paraId="3C5C0DBF">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6.19</w:t>
            </w:r>
          </w:p>
        </w:tc>
        <w:tc>
          <w:tcPr>
            <w:tcW w:w="2040" w:type="dxa"/>
            <w:shd w:val="clear" w:color="auto" w:fill="auto"/>
            <w:noWrap w:val="0"/>
            <w:vAlign w:val="center"/>
          </w:tcPr>
          <w:p w14:paraId="4D26489B">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7.19</w:t>
            </w:r>
          </w:p>
        </w:tc>
        <w:tc>
          <w:tcPr>
            <w:tcW w:w="1160" w:type="dxa"/>
            <w:shd w:val="clear" w:color="auto" w:fill="auto"/>
            <w:noWrap w:val="0"/>
            <w:vAlign w:val="center"/>
          </w:tcPr>
          <w:p w14:paraId="7E2C93BF">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color w:val="auto"/>
                <w:szCs w:val="18"/>
                <w:highlight w:val="none"/>
                <w:lang w:val="en-US" w:eastAsia="zh-CN"/>
              </w:rPr>
              <w:t>-</w:t>
            </w:r>
          </w:p>
        </w:tc>
        <w:tc>
          <w:tcPr>
            <w:tcW w:w="1206" w:type="dxa"/>
            <w:shd w:val="clear" w:color="auto" w:fill="auto"/>
            <w:noWrap w:val="0"/>
            <w:vAlign w:val="center"/>
          </w:tcPr>
          <w:p w14:paraId="71ADA43D">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30EBD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5E8B5E9B">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37B964F1">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电气部件</w:t>
            </w:r>
          </w:p>
        </w:tc>
        <w:tc>
          <w:tcPr>
            <w:tcW w:w="1729" w:type="dxa"/>
            <w:shd w:val="clear" w:color="auto" w:fill="auto"/>
            <w:noWrap w:val="0"/>
            <w:vAlign w:val="center"/>
          </w:tcPr>
          <w:p w14:paraId="2511A53B">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6.20</w:t>
            </w:r>
          </w:p>
        </w:tc>
        <w:tc>
          <w:tcPr>
            <w:tcW w:w="2040" w:type="dxa"/>
            <w:shd w:val="clear" w:color="auto" w:fill="auto"/>
            <w:noWrap w:val="0"/>
            <w:vAlign w:val="center"/>
          </w:tcPr>
          <w:p w14:paraId="62A715CA">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7.20</w:t>
            </w:r>
          </w:p>
        </w:tc>
        <w:tc>
          <w:tcPr>
            <w:tcW w:w="1160" w:type="dxa"/>
            <w:shd w:val="clear" w:color="auto" w:fill="auto"/>
            <w:noWrap w:val="0"/>
            <w:vAlign w:val="center"/>
          </w:tcPr>
          <w:p w14:paraId="29A4046D">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color w:val="auto"/>
                <w:szCs w:val="18"/>
                <w:highlight w:val="none"/>
                <w:lang w:val="en-US" w:eastAsia="zh-CN"/>
              </w:rPr>
              <w:t>-</w:t>
            </w:r>
          </w:p>
        </w:tc>
        <w:tc>
          <w:tcPr>
            <w:tcW w:w="1206" w:type="dxa"/>
            <w:shd w:val="clear" w:color="auto" w:fill="auto"/>
            <w:noWrap w:val="0"/>
            <w:vAlign w:val="center"/>
          </w:tcPr>
          <w:p w14:paraId="051CEC30">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1E506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78" w:type="dxa"/>
            <w:noWrap w:val="0"/>
            <w:vAlign w:val="center"/>
          </w:tcPr>
          <w:p w14:paraId="03023F14">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2149ACD7">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主要性能</w:t>
            </w:r>
          </w:p>
        </w:tc>
        <w:tc>
          <w:tcPr>
            <w:tcW w:w="1729" w:type="dxa"/>
            <w:shd w:val="clear" w:color="auto" w:fill="auto"/>
            <w:noWrap w:val="0"/>
            <w:vAlign w:val="center"/>
          </w:tcPr>
          <w:p w14:paraId="1E0A70C2">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6.21</w:t>
            </w:r>
          </w:p>
        </w:tc>
        <w:tc>
          <w:tcPr>
            <w:tcW w:w="2040" w:type="dxa"/>
            <w:shd w:val="clear" w:color="auto" w:fill="auto"/>
            <w:noWrap w:val="0"/>
            <w:vAlign w:val="center"/>
          </w:tcPr>
          <w:p w14:paraId="3ECA346F">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7.21</w:t>
            </w:r>
          </w:p>
        </w:tc>
        <w:tc>
          <w:tcPr>
            <w:tcW w:w="1160" w:type="dxa"/>
            <w:shd w:val="clear" w:color="auto" w:fill="auto"/>
            <w:noWrap w:val="0"/>
            <w:vAlign w:val="center"/>
          </w:tcPr>
          <w:p w14:paraId="25CFFE23">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color w:val="auto"/>
                <w:szCs w:val="18"/>
                <w:highlight w:val="none"/>
                <w:lang w:val="en-US" w:eastAsia="zh-CN"/>
              </w:rPr>
              <w:t>-</w:t>
            </w:r>
          </w:p>
        </w:tc>
        <w:tc>
          <w:tcPr>
            <w:tcW w:w="1206" w:type="dxa"/>
            <w:shd w:val="clear" w:color="auto" w:fill="auto"/>
            <w:noWrap w:val="0"/>
            <w:vAlign w:val="center"/>
          </w:tcPr>
          <w:p w14:paraId="7945CCF4">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5D2DB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8" w:type="dxa"/>
            <w:noWrap w:val="0"/>
            <w:vAlign w:val="center"/>
          </w:tcPr>
          <w:p w14:paraId="7D2CD8F8">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0CBDBA93">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可靠性</w:t>
            </w:r>
          </w:p>
        </w:tc>
        <w:tc>
          <w:tcPr>
            <w:tcW w:w="1729" w:type="dxa"/>
            <w:shd w:val="clear" w:color="auto" w:fill="auto"/>
            <w:noWrap w:val="0"/>
            <w:vAlign w:val="center"/>
          </w:tcPr>
          <w:p w14:paraId="2C54DF22">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6.22</w:t>
            </w:r>
          </w:p>
        </w:tc>
        <w:tc>
          <w:tcPr>
            <w:tcW w:w="2040" w:type="dxa"/>
            <w:shd w:val="clear" w:color="auto" w:fill="auto"/>
            <w:noWrap w:val="0"/>
            <w:vAlign w:val="center"/>
          </w:tcPr>
          <w:p w14:paraId="0E62337C">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7.22</w:t>
            </w:r>
          </w:p>
        </w:tc>
        <w:tc>
          <w:tcPr>
            <w:tcW w:w="1160" w:type="dxa"/>
            <w:shd w:val="clear" w:color="auto" w:fill="auto"/>
            <w:noWrap w:val="0"/>
            <w:vAlign w:val="center"/>
          </w:tcPr>
          <w:p w14:paraId="115B1194">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color w:val="auto"/>
                <w:szCs w:val="18"/>
                <w:highlight w:val="none"/>
                <w:lang w:val="en-US" w:eastAsia="zh-CN"/>
              </w:rPr>
              <w:t>-</w:t>
            </w:r>
          </w:p>
        </w:tc>
        <w:tc>
          <w:tcPr>
            <w:tcW w:w="1206" w:type="dxa"/>
            <w:shd w:val="clear" w:color="auto" w:fill="auto"/>
            <w:noWrap w:val="0"/>
            <w:vAlign w:val="center"/>
          </w:tcPr>
          <w:p w14:paraId="01E09540">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141FD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8" w:type="dxa"/>
            <w:noWrap w:val="0"/>
            <w:vAlign w:val="center"/>
          </w:tcPr>
          <w:p w14:paraId="36707FEA">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4AC22F16">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装配质量</w:t>
            </w:r>
          </w:p>
        </w:tc>
        <w:tc>
          <w:tcPr>
            <w:tcW w:w="1729" w:type="dxa"/>
            <w:shd w:val="clear" w:color="auto" w:fill="auto"/>
            <w:noWrap w:val="0"/>
            <w:vAlign w:val="center"/>
          </w:tcPr>
          <w:p w14:paraId="04818459">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6.23</w:t>
            </w:r>
          </w:p>
        </w:tc>
        <w:tc>
          <w:tcPr>
            <w:tcW w:w="2040" w:type="dxa"/>
            <w:shd w:val="clear" w:color="auto" w:fill="auto"/>
            <w:noWrap w:val="0"/>
            <w:vAlign w:val="center"/>
          </w:tcPr>
          <w:p w14:paraId="1A7DBC14">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7.23</w:t>
            </w:r>
          </w:p>
        </w:tc>
        <w:tc>
          <w:tcPr>
            <w:tcW w:w="1160" w:type="dxa"/>
            <w:shd w:val="clear" w:color="auto" w:fill="auto"/>
            <w:noWrap w:val="0"/>
            <w:vAlign w:val="center"/>
          </w:tcPr>
          <w:p w14:paraId="0670BDF0">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c>
          <w:tcPr>
            <w:tcW w:w="1206" w:type="dxa"/>
            <w:shd w:val="clear" w:color="auto" w:fill="auto"/>
            <w:noWrap w:val="0"/>
            <w:vAlign w:val="center"/>
          </w:tcPr>
          <w:p w14:paraId="445D88DF">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r w14:paraId="32709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8" w:type="dxa"/>
            <w:noWrap w:val="0"/>
            <w:vAlign w:val="center"/>
          </w:tcPr>
          <w:p w14:paraId="761D5F04">
            <w:pPr>
              <w:pStyle w:val="27"/>
              <w:numPr>
                <w:ilvl w:val="0"/>
                <w:numId w:val="21"/>
              </w:numPr>
              <w:ind w:left="425" w:leftChars="0" w:hanging="425" w:firstLineChars="0"/>
              <w:jc w:val="center"/>
              <w:rPr>
                <w:rFonts w:hint="default" w:eastAsia="宋体"/>
                <w:color w:val="auto"/>
                <w:szCs w:val="18"/>
                <w:highlight w:val="none"/>
                <w:lang w:val="en-US" w:eastAsia="zh-CN"/>
              </w:rPr>
            </w:pPr>
          </w:p>
        </w:tc>
        <w:tc>
          <w:tcPr>
            <w:tcW w:w="2657" w:type="dxa"/>
            <w:shd w:val="clear" w:color="auto" w:fill="auto"/>
            <w:noWrap w:val="0"/>
            <w:vAlign w:val="center"/>
          </w:tcPr>
          <w:p w14:paraId="4E33CF15">
            <w:pPr>
              <w:pStyle w:val="27"/>
              <w:ind w:firstLine="0" w:firstLineChars="0"/>
              <w:jc w:val="center"/>
              <w:rPr>
                <w:rFonts w:hint="eastAsia"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外观质量</w:t>
            </w:r>
          </w:p>
        </w:tc>
        <w:tc>
          <w:tcPr>
            <w:tcW w:w="1729" w:type="dxa"/>
            <w:shd w:val="clear" w:color="auto" w:fill="auto"/>
            <w:noWrap w:val="0"/>
            <w:vAlign w:val="center"/>
          </w:tcPr>
          <w:p w14:paraId="467167E0">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6.24</w:t>
            </w:r>
          </w:p>
        </w:tc>
        <w:tc>
          <w:tcPr>
            <w:tcW w:w="2040" w:type="dxa"/>
            <w:shd w:val="clear" w:color="auto" w:fill="auto"/>
            <w:noWrap w:val="0"/>
            <w:vAlign w:val="center"/>
          </w:tcPr>
          <w:p w14:paraId="18E23298">
            <w:pPr>
              <w:pStyle w:val="27"/>
              <w:ind w:firstLine="0" w:firstLineChars="0"/>
              <w:jc w:val="center"/>
              <w:rPr>
                <w:rFonts w:hint="default" w:ascii="宋体" w:hAnsi="Times New Roman" w:eastAsia="宋体" w:cs="Times New Roman"/>
                <w:color w:val="auto"/>
                <w:sz w:val="21"/>
                <w:szCs w:val="18"/>
                <w:highlight w:val="none"/>
                <w:lang w:val="en-US" w:eastAsia="zh-CN" w:bidi="ar-SA"/>
              </w:rPr>
            </w:pPr>
            <w:r>
              <w:rPr>
                <w:rFonts w:hint="eastAsia"/>
                <w:color w:val="auto"/>
                <w:szCs w:val="18"/>
                <w:highlight w:val="none"/>
                <w:lang w:val="en-US" w:eastAsia="zh-CN"/>
              </w:rPr>
              <w:t>7.24</w:t>
            </w:r>
          </w:p>
        </w:tc>
        <w:tc>
          <w:tcPr>
            <w:tcW w:w="1160" w:type="dxa"/>
            <w:shd w:val="clear" w:color="auto" w:fill="auto"/>
            <w:noWrap w:val="0"/>
            <w:vAlign w:val="center"/>
          </w:tcPr>
          <w:p w14:paraId="1C06F126">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c>
          <w:tcPr>
            <w:tcW w:w="1206" w:type="dxa"/>
            <w:shd w:val="clear" w:color="auto" w:fill="auto"/>
            <w:noWrap w:val="0"/>
            <w:vAlign w:val="center"/>
          </w:tcPr>
          <w:p w14:paraId="0A92D4F8">
            <w:pPr>
              <w:pStyle w:val="27"/>
              <w:ind w:firstLine="0" w:firstLineChars="0"/>
              <w:jc w:val="center"/>
              <w:rPr>
                <w:rFonts w:hint="eastAsia" w:ascii="微软雅黑" w:hAnsi="微软雅黑" w:eastAsia="微软雅黑" w:cs="微软雅黑"/>
                <w:color w:val="auto"/>
                <w:sz w:val="18"/>
                <w:szCs w:val="18"/>
                <w:highlight w:val="none"/>
                <w:lang w:val="en-US" w:eastAsia="zh-CN" w:bidi="ar-SA"/>
              </w:rPr>
            </w:pPr>
            <w:r>
              <w:rPr>
                <w:rFonts w:hint="eastAsia" w:ascii="微软雅黑" w:hAnsi="微软雅黑" w:eastAsia="微软雅黑" w:cs="微软雅黑"/>
                <w:color w:val="auto"/>
                <w:sz w:val="18"/>
                <w:szCs w:val="18"/>
                <w:highlight w:val="none"/>
              </w:rPr>
              <w:t>√</w:t>
            </w:r>
          </w:p>
        </w:tc>
      </w:tr>
    </w:tbl>
    <w:tbl>
      <w:tblPr>
        <w:tblStyle w:val="3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64754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71" w:type="dxa"/>
            <w:tcBorders>
              <w:top w:val="single" w:color="auto" w:sz="8" w:space="0"/>
              <w:tl2br w:val="nil"/>
              <w:tr2bl w:val="nil"/>
            </w:tcBorders>
          </w:tcPr>
          <w:p w14:paraId="33FBF3E8">
            <w:r>
              <w:t>表中“√”表示必检，“△”表示装配时检，“—”表示不检。</w:t>
            </w:r>
          </w:p>
        </w:tc>
      </w:tr>
      <w:bookmarkEnd w:id="112"/>
    </w:tbl>
    <w:p w14:paraId="03769D7E">
      <w:pPr>
        <w:pStyle w:val="127"/>
        <w:rPr>
          <w:color w:val="auto"/>
          <w:highlight w:val="none"/>
        </w:rPr>
      </w:pPr>
      <w:r>
        <w:rPr>
          <w:rFonts w:hint="eastAsia"/>
          <w:color w:val="auto"/>
          <w:highlight w:val="none"/>
        </w:rPr>
        <w:t>型式检验的样车应从出厂检验合格的产品中随机抽取，样车数重为3辆或按型式检验规则。</w:t>
      </w:r>
    </w:p>
    <w:p w14:paraId="788497A7">
      <w:pPr>
        <w:pStyle w:val="127"/>
        <w:rPr>
          <w:color w:val="auto"/>
          <w:highlight w:val="none"/>
        </w:rPr>
      </w:pPr>
      <w:r>
        <w:rPr>
          <w:rFonts w:hint="eastAsia"/>
          <w:color w:val="auto"/>
          <w:highlight w:val="none"/>
        </w:rPr>
        <w:t>判定规则按各强检项目标准规定。</w:t>
      </w:r>
    </w:p>
    <w:p w14:paraId="11BADA4E">
      <w:pPr>
        <w:pStyle w:val="56"/>
        <w:rPr>
          <w:color w:val="auto"/>
          <w:highlight w:val="none"/>
        </w:rPr>
      </w:pPr>
      <w:bookmarkStart w:id="113" w:name="_Toc17936"/>
      <w:bookmarkStart w:id="114" w:name="_Toc21574"/>
      <w:bookmarkStart w:id="115" w:name="_Toc14161"/>
      <w:bookmarkStart w:id="116" w:name="_Toc27113"/>
      <w:bookmarkStart w:id="117" w:name="_Toc2741"/>
      <w:bookmarkStart w:id="118" w:name="_Toc28230"/>
      <w:bookmarkStart w:id="119" w:name="_Toc9619"/>
      <w:bookmarkStart w:id="120" w:name="_Toc26162"/>
      <w:r>
        <w:rPr>
          <w:rFonts w:hint="eastAsia"/>
          <w:color w:val="auto"/>
          <w:highlight w:val="none"/>
        </w:rPr>
        <w:t>标志、包装、运输、贮存</w:t>
      </w:r>
      <w:bookmarkEnd w:id="113"/>
      <w:bookmarkEnd w:id="114"/>
      <w:bookmarkEnd w:id="115"/>
      <w:bookmarkEnd w:id="116"/>
      <w:bookmarkEnd w:id="117"/>
      <w:bookmarkEnd w:id="118"/>
      <w:bookmarkEnd w:id="119"/>
      <w:bookmarkEnd w:id="120"/>
    </w:p>
    <w:p w14:paraId="4855A6E5">
      <w:pPr>
        <w:pStyle w:val="83"/>
        <w:rPr>
          <w:color w:val="auto"/>
          <w:highlight w:val="none"/>
        </w:rPr>
      </w:pPr>
      <w:r>
        <w:rPr>
          <w:rFonts w:hint="eastAsia"/>
          <w:color w:val="auto"/>
          <w:highlight w:val="none"/>
        </w:rPr>
        <w:t>标志</w:t>
      </w:r>
    </w:p>
    <w:p w14:paraId="18F080C0">
      <w:pPr>
        <w:pStyle w:val="127"/>
        <w:rPr>
          <w:color w:val="auto"/>
          <w:highlight w:val="none"/>
        </w:rPr>
      </w:pPr>
      <w:r>
        <w:rPr>
          <w:rFonts w:hint="eastAsia"/>
          <w:color w:val="auto"/>
          <w:highlight w:val="none"/>
        </w:rPr>
        <w:t>每辆摩托车的铭牌应</w:t>
      </w:r>
      <w:r>
        <w:rPr>
          <w:rFonts w:hint="eastAsia"/>
          <w:color w:val="auto"/>
          <w:highlight w:val="none"/>
          <w:lang w:val="en-US" w:eastAsia="zh-CN"/>
        </w:rPr>
        <w:t>至少</w:t>
      </w:r>
      <w:r>
        <w:rPr>
          <w:rFonts w:hint="eastAsia"/>
          <w:color w:val="auto"/>
          <w:highlight w:val="none"/>
        </w:rPr>
        <w:t>有下列内容:</w:t>
      </w:r>
    </w:p>
    <w:p w14:paraId="5D880C42">
      <w:pPr>
        <w:pStyle w:val="89"/>
        <w:numPr>
          <w:ilvl w:val="0"/>
          <w:numId w:val="22"/>
        </w:numPr>
        <w:rPr>
          <w:color w:val="auto"/>
          <w:highlight w:val="none"/>
        </w:rPr>
      </w:pPr>
      <w:r>
        <w:rPr>
          <w:rFonts w:hint="eastAsia"/>
          <w:color w:val="auto"/>
          <w:highlight w:val="none"/>
        </w:rPr>
        <w:t>商标；</w:t>
      </w:r>
    </w:p>
    <w:p w14:paraId="474B16E5">
      <w:pPr>
        <w:pStyle w:val="89"/>
        <w:numPr>
          <w:ilvl w:val="0"/>
          <w:numId w:val="22"/>
        </w:numPr>
        <w:rPr>
          <w:color w:val="auto"/>
          <w:highlight w:val="none"/>
        </w:rPr>
      </w:pPr>
      <w:r>
        <w:rPr>
          <w:rFonts w:hint="eastAsia"/>
          <w:color w:val="auto"/>
          <w:highlight w:val="none"/>
        </w:rPr>
        <w:t>产品型号；</w:t>
      </w:r>
    </w:p>
    <w:p w14:paraId="26BA1DA5">
      <w:pPr>
        <w:pStyle w:val="89"/>
        <w:numPr>
          <w:ilvl w:val="0"/>
          <w:numId w:val="22"/>
        </w:numPr>
        <w:rPr>
          <w:color w:val="auto"/>
          <w:highlight w:val="none"/>
        </w:rPr>
      </w:pPr>
      <w:r>
        <w:rPr>
          <w:rFonts w:hint="eastAsia"/>
          <w:color w:val="auto"/>
          <w:highlight w:val="none"/>
        </w:rPr>
        <w:t>制造日期；</w:t>
      </w:r>
    </w:p>
    <w:p w14:paraId="4D0FFD3C">
      <w:pPr>
        <w:pStyle w:val="89"/>
        <w:numPr>
          <w:ilvl w:val="0"/>
          <w:numId w:val="22"/>
        </w:numPr>
        <w:rPr>
          <w:color w:val="auto"/>
          <w:highlight w:val="none"/>
        </w:rPr>
      </w:pPr>
      <w:r>
        <w:rPr>
          <w:rFonts w:hint="eastAsia"/>
          <w:color w:val="auto"/>
          <w:highlight w:val="none"/>
        </w:rPr>
        <w:t>制造厂名称；</w:t>
      </w:r>
    </w:p>
    <w:p w14:paraId="7972CCC5">
      <w:pPr>
        <w:pStyle w:val="89"/>
        <w:numPr>
          <w:ilvl w:val="0"/>
          <w:numId w:val="22"/>
        </w:numPr>
        <w:rPr>
          <w:color w:val="auto"/>
          <w:highlight w:val="none"/>
        </w:rPr>
      </w:pPr>
      <w:r>
        <w:rPr>
          <w:rFonts w:hint="eastAsia"/>
          <w:color w:val="auto"/>
          <w:highlight w:val="none"/>
        </w:rPr>
        <w:t>制造国；</w:t>
      </w:r>
    </w:p>
    <w:p w14:paraId="5C8E17A1">
      <w:pPr>
        <w:pStyle w:val="89"/>
        <w:numPr>
          <w:ilvl w:val="0"/>
          <w:numId w:val="22"/>
        </w:numPr>
        <w:rPr>
          <w:color w:val="auto"/>
          <w:highlight w:val="none"/>
        </w:rPr>
      </w:pPr>
      <w:r>
        <w:rPr>
          <w:rFonts w:hint="eastAsia"/>
          <w:color w:val="auto"/>
          <w:highlight w:val="none"/>
        </w:rPr>
        <w:t>电机最大输出功率；</w:t>
      </w:r>
    </w:p>
    <w:p w14:paraId="522D728C">
      <w:pPr>
        <w:pStyle w:val="89"/>
        <w:numPr>
          <w:ilvl w:val="0"/>
          <w:numId w:val="22"/>
        </w:numPr>
        <w:rPr>
          <w:color w:val="auto"/>
          <w:highlight w:val="none"/>
        </w:rPr>
      </w:pPr>
      <w:r>
        <w:rPr>
          <w:rFonts w:hint="eastAsia"/>
          <w:color w:val="auto"/>
          <w:highlight w:val="none"/>
        </w:rPr>
        <w:t>整备质量。</w:t>
      </w:r>
    </w:p>
    <w:p w14:paraId="349056C0">
      <w:pPr>
        <w:pStyle w:val="127"/>
        <w:rPr>
          <w:color w:val="auto"/>
          <w:highlight w:val="none"/>
        </w:rPr>
      </w:pPr>
      <w:r>
        <w:rPr>
          <w:rFonts w:hint="eastAsia"/>
          <w:color w:val="auto"/>
          <w:highlight w:val="none"/>
        </w:rPr>
        <w:t>铭牌应牢固地置于车身前部或左右两侧醒目位置。</w:t>
      </w:r>
    </w:p>
    <w:p w14:paraId="205CE130">
      <w:pPr>
        <w:pStyle w:val="127"/>
        <w:rPr>
          <w:color w:val="auto"/>
          <w:highlight w:val="none"/>
        </w:rPr>
      </w:pPr>
      <w:r>
        <w:rPr>
          <w:rFonts w:hint="eastAsia"/>
          <w:color w:val="auto"/>
          <w:highlight w:val="none"/>
        </w:rPr>
        <w:t>每辆摩托车应在明显部位加贴</w:t>
      </w:r>
      <w:r>
        <w:rPr>
          <w:rFonts w:hint="eastAsia"/>
          <w:color w:val="auto"/>
          <w:highlight w:val="none"/>
          <w:lang w:val="en-US" w:eastAsia="zh-CN"/>
        </w:rPr>
        <w:t>销售国对应产品的许可</w:t>
      </w:r>
      <w:r>
        <w:rPr>
          <w:rFonts w:hint="eastAsia"/>
          <w:color w:val="auto"/>
          <w:highlight w:val="none"/>
        </w:rPr>
        <w:t>认证标志。</w:t>
      </w:r>
    </w:p>
    <w:p w14:paraId="2637B552">
      <w:pPr>
        <w:pStyle w:val="127"/>
        <w:rPr>
          <w:color w:val="auto"/>
          <w:highlight w:val="none"/>
        </w:rPr>
      </w:pPr>
      <w:r>
        <w:rPr>
          <w:rFonts w:hint="eastAsia"/>
          <w:color w:val="auto"/>
          <w:highlight w:val="none"/>
        </w:rPr>
        <w:t>车架编号应打在车架易见部位，字体高度应不小于7</w:t>
      </w:r>
      <w:r>
        <w:rPr>
          <w:color w:val="auto"/>
          <w:highlight w:val="none"/>
        </w:rPr>
        <w:t> </w:t>
      </w:r>
      <w:r>
        <w:rPr>
          <w:rFonts w:hint="eastAsia"/>
          <w:color w:val="auto"/>
          <w:highlight w:val="none"/>
        </w:rPr>
        <w:t>mm，深度不小于0.2</w:t>
      </w:r>
      <w:r>
        <w:rPr>
          <w:color w:val="auto"/>
          <w:highlight w:val="none"/>
        </w:rPr>
        <w:t> </w:t>
      </w:r>
      <w:r>
        <w:rPr>
          <w:rFonts w:hint="eastAsia"/>
          <w:color w:val="auto"/>
          <w:highlight w:val="none"/>
        </w:rPr>
        <w:t>mm，两端应有起止符号“☆”。</w:t>
      </w:r>
    </w:p>
    <w:p w14:paraId="4233DE2F">
      <w:pPr>
        <w:pStyle w:val="83"/>
        <w:rPr>
          <w:color w:val="auto"/>
          <w:highlight w:val="none"/>
        </w:rPr>
      </w:pPr>
      <w:r>
        <w:rPr>
          <w:rFonts w:hint="eastAsia"/>
          <w:color w:val="auto"/>
          <w:highlight w:val="none"/>
        </w:rPr>
        <w:t>包装</w:t>
      </w:r>
    </w:p>
    <w:p w14:paraId="5ADF9148">
      <w:pPr>
        <w:pStyle w:val="127"/>
        <w:rPr>
          <w:color w:val="auto"/>
          <w:highlight w:val="none"/>
        </w:rPr>
      </w:pPr>
      <w:r>
        <w:rPr>
          <w:rFonts w:hint="eastAsia"/>
          <w:color w:val="auto"/>
          <w:highlight w:val="none"/>
        </w:rPr>
        <w:t>包装箱应牢固可靠，标记清晰，其技术要求、试验方法、检验规程、应符合GB/T 13384规定，包装箱标志应</w:t>
      </w:r>
      <w:r>
        <w:rPr>
          <w:rFonts w:hint="eastAsia"/>
          <w:color w:val="auto"/>
          <w:highlight w:val="none"/>
          <w:lang w:val="en-US" w:eastAsia="zh-CN"/>
        </w:rPr>
        <w:t>至少</w:t>
      </w:r>
      <w:r>
        <w:rPr>
          <w:rFonts w:hint="eastAsia"/>
          <w:color w:val="auto"/>
          <w:highlight w:val="none"/>
        </w:rPr>
        <w:t>包括下列内容:</w:t>
      </w:r>
    </w:p>
    <w:p w14:paraId="4DD559B0">
      <w:pPr>
        <w:pStyle w:val="89"/>
        <w:numPr>
          <w:ilvl w:val="0"/>
          <w:numId w:val="23"/>
        </w:numPr>
        <w:rPr>
          <w:color w:val="auto"/>
          <w:highlight w:val="none"/>
        </w:rPr>
      </w:pPr>
      <w:r>
        <w:rPr>
          <w:rFonts w:hint="eastAsia"/>
          <w:color w:val="auto"/>
          <w:highlight w:val="none"/>
        </w:rPr>
        <w:t>产品名称或型号；</w:t>
      </w:r>
    </w:p>
    <w:p w14:paraId="0CDE894F">
      <w:pPr>
        <w:pStyle w:val="89"/>
        <w:numPr>
          <w:ilvl w:val="0"/>
          <w:numId w:val="23"/>
        </w:numPr>
        <w:rPr>
          <w:color w:val="auto"/>
          <w:highlight w:val="none"/>
        </w:rPr>
      </w:pPr>
      <w:r>
        <w:rPr>
          <w:rFonts w:hint="eastAsia"/>
          <w:color w:val="auto"/>
          <w:highlight w:val="none"/>
        </w:rPr>
        <w:t>制造厂名称及地址；</w:t>
      </w:r>
    </w:p>
    <w:p w14:paraId="50466368">
      <w:pPr>
        <w:pStyle w:val="89"/>
        <w:numPr>
          <w:ilvl w:val="0"/>
          <w:numId w:val="23"/>
        </w:numPr>
        <w:rPr>
          <w:color w:val="auto"/>
          <w:highlight w:val="none"/>
        </w:rPr>
      </w:pPr>
      <w:r>
        <w:rPr>
          <w:rFonts w:hint="eastAsia"/>
          <w:color w:val="auto"/>
          <w:highlight w:val="none"/>
        </w:rPr>
        <w:t>数量；</w:t>
      </w:r>
    </w:p>
    <w:p w14:paraId="3760601A">
      <w:pPr>
        <w:pStyle w:val="89"/>
        <w:numPr>
          <w:ilvl w:val="0"/>
          <w:numId w:val="23"/>
        </w:numPr>
        <w:rPr>
          <w:color w:val="auto"/>
          <w:highlight w:val="none"/>
        </w:rPr>
      </w:pPr>
      <w:r>
        <w:rPr>
          <w:rFonts w:hint="eastAsia"/>
          <w:color w:val="auto"/>
          <w:highlight w:val="none"/>
        </w:rPr>
        <w:t>总质量；</w:t>
      </w:r>
    </w:p>
    <w:p w14:paraId="07539EB0">
      <w:pPr>
        <w:pStyle w:val="89"/>
        <w:numPr>
          <w:ilvl w:val="0"/>
          <w:numId w:val="23"/>
        </w:numPr>
        <w:rPr>
          <w:color w:val="auto"/>
          <w:highlight w:val="none"/>
        </w:rPr>
      </w:pPr>
      <w:r>
        <w:rPr>
          <w:rFonts w:hint="eastAsia"/>
          <w:color w:val="auto"/>
          <w:highlight w:val="none"/>
        </w:rPr>
        <w:t>包装箱外廓尺寸；</w:t>
      </w:r>
    </w:p>
    <w:p w14:paraId="2DFB863A">
      <w:pPr>
        <w:pStyle w:val="89"/>
        <w:numPr>
          <w:ilvl w:val="0"/>
          <w:numId w:val="23"/>
        </w:numPr>
        <w:rPr>
          <w:color w:val="auto"/>
          <w:highlight w:val="none"/>
        </w:rPr>
      </w:pPr>
      <w:r>
        <w:rPr>
          <w:rFonts w:hint="eastAsia"/>
          <w:color w:val="auto"/>
          <w:highlight w:val="none"/>
        </w:rPr>
        <w:t>出厂日期；</w:t>
      </w:r>
    </w:p>
    <w:p w14:paraId="25593311">
      <w:pPr>
        <w:pStyle w:val="89"/>
        <w:numPr>
          <w:ilvl w:val="0"/>
          <w:numId w:val="23"/>
        </w:numPr>
        <w:rPr>
          <w:color w:val="auto"/>
          <w:highlight w:val="none"/>
        </w:rPr>
      </w:pPr>
      <w:r>
        <w:rPr>
          <w:rFonts w:hint="eastAsia"/>
          <w:color w:val="auto"/>
          <w:highlight w:val="none"/>
        </w:rPr>
        <w:t>执行企业产品标准号；</w:t>
      </w:r>
    </w:p>
    <w:p w14:paraId="6A08DE67">
      <w:pPr>
        <w:pStyle w:val="89"/>
        <w:numPr>
          <w:ilvl w:val="0"/>
          <w:numId w:val="23"/>
        </w:numPr>
        <w:rPr>
          <w:color w:val="auto"/>
          <w:highlight w:val="none"/>
        </w:rPr>
      </w:pPr>
      <w:r>
        <w:rPr>
          <w:rFonts w:hint="eastAsia"/>
          <w:color w:val="auto"/>
          <w:highlight w:val="none"/>
        </w:rPr>
        <w:t>“小心轻放”“怕潮”“不准倒置”等图形标志，其标志应符合GB/T 191</w:t>
      </w:r>
      <w:r>
        <w:rPr>
          <w:rFonts w:hint="eastAsia" w:ascii="宋体" w:hAnsi="宋体"/>
          <w:color w:val="auto"/>
          <w:szCs w:val="21"/>
          <w:highlight w:val="none"/>
        </w:rPr>
        <w:t>—2008</w:t>
      </w:r>
      <w:r>
        <w:rPr>
          <w:rFonts w:hint="eastAsia"/>
          <w:color w:val="auto"/>
          <w:highlight w:val="none"/>
        </w:rPr>
        <w:t>的规定；</w:t>
      </w:r>
    </w:p>
    <w:p w14:paraId="7148FD57">
      <w:pPr>
        <w:pStyle w:val="89"/>
        <w:numPr>
          <w:ilvl w:val="0"/>
          <w:numId w:val="23"/>
        </w:numPr>
        <w:rPr>
          <w:color w:val="auto"/>
          <w:highlight w:val="none"/>
        </w:rPr>
      </w:pPr>
      <w:r>
        <w:rPr>
          <w:rFonts w:hint="eastAsia"/>
          <w:color w:val="auto"/>
          <w:highlight w:val="none"/>
        </w:rPr>
        <w:t>电动机编号，车架编号，颜色。</w:t>
      </w:r>
    </w:p>
    <w:p w14:paraId="182BF057">
      <w:pPr>
        <w:pStyle w:val="127"/>
        <w:rPr>
          <w:color w:val="auto"/>
          <w:highlight w:val="none"/>
        </w:rPr>
      </w:pPr>
      <w:r>
        <w:rPr>
          <w:rFonts w:hint="eastAsia"/>
          <w:color w:val="auto"/>
          <w:highlight w:val="none"/>
        </w:rPr>
        <w:t>包装、入库的摩托车应按整车油封技术堆积进行油封，用户有特殊要求时，可适当延长。</w:t>
      </w:r>
    </w:p>
    <w:p w14:paraId="68AFE549">
      <w:pPr>
        <w:pStyle w:val="127"/>
        <w:rPr>
          <w:color w:val="auto"/>
          <w:highlight w:val="none"/>
        </w:rPr>
      </w:pPr>
      <w:r>
        <w:rPr>
          <w:rFonts w:hint="eastAsia"/>
          <w:color w:val="auto"/>
          <w:highlight w:val="none"/>
        </w:rPr>
        <w:t>动力蓄电池单独发送。</w:t>
      </w:r>
    </w:p>
    <w:p w14:paraId="3EFC1DC0">
      <w:pPr>
        <w:pStyle w:val="127"/>
        <w:rPr>
          <w:color w:val="auto"/>
          <w:highlight w:val="none"/>
        </w:rPr>
      </w:pPr>
      <w:r>
        <w:rPr>
          <w:rFonts w:hint="eastAsia"/>
          <w:color w:val="auto"/>
          <w:highlight w:val="none"/>
        </w:rPr>
        <w:t>出厂的摩托车应附有产品合格证，使用维护说明书，装箱清单及保修单，使用说明书应符合8.2.4规定。</w:t>
      </w:r>
    </w:p>
    <w:p w14:paraId="690E2EBB">
      <w:pPr>
        <w:pStyle w:val="83"/>
        <w:rPr>
          <w:color w:val="auto"/>
          <w:highlight w:val="none"/>
        </w:rPr>
      </w:pPr>
      <w:r>
        <w:rPr>
          <w:rFonts w:hint="eastAsia"/>
          <w:color w:val="auto"/>
          <w:highlight w:val="none"/>
        </w:rPr>
        <w:t>运输</w:t>
      </w:r>
    </w:p>
    <w:p w14:paraId="6023AFEC">
      <w:pPr>
        <w:pStyle w:val="27"/>
        <w:rPr>
          <w:color w:val="auto"/>
          <w:highlight w:val="none"/>
        </w:rPr>
      </w:pPr>
      <w:r>
        <w:rPr>
          <w:rFonts w:hint="eastAsia"/>
          <w:color w:val="auto"/>
          <w:highlight w:val="none"/>
        </w:rPr>
        <w:t>摩托车在运输车上应固定牢靠，有有效的防雨措施，不得有碰伤及损坏现象发生。堆码不超过三层。</w:t>
      </w:r>
    </w:p>
    <w:p w14:paraId="5420D177">
      <w:pPr>
        <w:pStyle w:val="83"/>
        <w:rPr>
          <w:color w:val="auto"/>
          <w:highlight w:val="none"/>
        </w:rPr>
      </w:pPr>
      <w:r>
        <w:rPr>
          <w:rFonts w:hint="eastAsia"/>
          <w:color w:val="auto"/>
          <w:highlight w:val="none"/>
        </w:rPr>
        <w:t>贮存</w:t>
      </w:r>
    </w:p>
    <w:p w14:paraId="0A10AF2E">
      <w:pPr>
        <w:pStyle w:val="127"/>
        <w:rPr>
          <w:color w:val="auto"/>
          <w:highlight w:val="none"/>
        </w:rPr>
      </w:pPr>
      <w:r>
        <w:rPr>
          <w:rFonts w:hint="eastAsia"/>
          <w:color w:val="auto"/>
          <w:highlight w:val="none"/>
        </w:rPr>
        <w:t>摩托车应贮存在通风、干燥、防雨和防晒的库房内。堆码不超过三层。</w:t>
      </w:r>
    </w:p>
    <w:p w14:paraId="3D1D2F3C">
      <w:pPr>
        <w:pStyle w:val="127"/>
        <w:rPr>
          <w:color w:val="auto"/>
          <w:highlight w:val="none"/>
        </w:rPr>
      </w:pPr>
      <w:r>
        <w:rPr>
          <w:rFonts w:hint="eastAsia"/>
          <w:color w:val="auto"/>
          <w:highlight w:val="none"/>
        </w:rPr>
        <w:t>贮存的摩托车应断开蓄电池电源线，进行包装。</w:t>
      </w:r>
    </w:p>
    <w:p w14:paraId="72DC2DCE">
      <w:pPr>
        <w:pStyle w:val="56"/>
        <w:rPr>
          <w:color w:val="auto"/>
          <w:highlight w:val="none"/>
        </w:rPr>
      </w:pPr>
      <w:bookmarkStart w:id="121" w:name="_Toc21681"/>
      <w:bookmarkStart w:id="122" w:name="_Toc107"/>
      <w:bookmarkStart w:id="123" w:name="_Toc12884"/>
      <w:bookmarkStart w:id="124" w:name="_Toc10623"/>
      <w:bookmarkStart w:id="125" w:name="_Toc7244"/>
      <w:bookmarkStart w:id="126" w:name="_Toc28222"/>
      <w:bookmarkStart w:id="127" w:name="_Toc29916"/>
      <w:bookmarkStart w:id="128" w:name="_Toc1663"/>
      <w:r>
        <w:rPr>
          <w:rFonts w:hint="eastAsia"/>
          <w:color w:val="auto"/>
          <w:highlight w:val="none"/>
          <w:lang w:val="en-US" w:eastAsia="zh-CN"/>
        </w:rPr>
        <w:t>全生命周期管理</w:t>
      </w:r>
      <w:bookmarkEnd w:id="121"/>
      <w:bookmarkEnd w:id="122"/>
      <w:bookmarkEnd w:id="123"/>
      <w:bookmarkEnd w:id="124"/>
      <w:bookmarkEnd w:id="125"/>
      <w:bookmarkEnd w:id="126"/>
    </w:p>
    <w:p w14:paraId="2E4D4832">
      <w:pPr>
        <w:pStyle w:val="83"/>
        <w:rPr>
          <w:rFonts w:hint="eastAsia" w:ascii="宋体" w:hAnsi="宋体" w:eastAsia="宋体" w:cs="宋体"/>
          <w:color w:val="auto"/>
          <w:highlight w:val="none"/>
          <w:lang w:eastAsia="zh-CN"/>
        </w:rPr>
      </w:pPr>
      <w:r>
        <w:rPr>
          <w:rFonts w:hint="eastAsia" w:ascii="宋体" w:hAnsi="宋体" w:eastAsia="宋体" w:cs="宋体"/>
          <w:color w:val="auto"/>
          <w:highlight w:val="none"/>
        </w:rPr>
        <w:t>动力电池宜采用标准化、易拆解、易于梯次利用、可回收的产品结构</w:t>
      </w:r>
      <w:r>
        <w:rPr>
          <w:rFonts w:hint="eastAsia" w:ascii="宋体" w:hAnsi="宋体" w:eastAsia="宋体" w:cs="宋体"/>
          <w:color w:val="auto"/>
          <w:highlight w:val="none"/>
          <w:lang w:eastAsia="zh-CN"/>
        </w:rPr>
        <w:t>。</w:t>
      </w:r>
    </w:p>
    <w:p w14:paraId="296326BA">
      <w:pPr>
        <w:pStyle w:val="83"/>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动力电池</w:t>
      </w:r>
      <w:r>
        <w:rPr>
          <w:rFonts w:hint="eastAsia" w:ascii="宋体" w:hAnsi="宋体" w:eastAsia="宋体" w:cs="宋体"/>
          <w:color w:val="auto"/>
          <w:highlight w:val="none"/>
        </w:rPr>
        <w:t>拆卸、余能检测与拆解等涉及带电作业的活动应至少双人作业，涉及带电作业的回收利用人员应具备高压或低压电工证</w:t>
      </w:r>
      <w:r>
        <w:rPr>
          <w:rFonts w:hint="eastAsia" w:ascii="宋体" w:hAnsi="宋体" w:eastAsia="宋体" w:cs="宋体"/>
          <w:color w:val="auto"/>
          <w:highlight w:val="none"/>
          <w:lang w:eastAsia="zh-CN"/>
        </w:rPr>
        <w:t>。</w:t>
      </w:r>
    </w:p>
    <w:p w14:paraId="7A20951C">
      <w:pPr>
        <w:pStyle w:val="83"/>
        <w:rPr>
          <w:rFonts w:hint="eastAsia" w:ascii="宋体" w:hAnsi="宋体" w:eastAsia="宋体" w:cs="宋体"/>
          <w:color w:val="auto"/>
          <w:highlight w:val="none"/>
        </w:rPr>
      </w:pPr>
      <w:r>
        <w:rPr>
          <w:rFonts w:hint="eastAsia" w:ascii="宋体" w:hAnsi="宋体" w:eastAsia="宋体" w:cs="宋体"/>
          <w:color w:val="auto"/>
          <w:highlight w:val="none"/>
        </w:rPr>
        <w:t>不应将未经过任何处理的废旧动力电池及其组成成分进行丢弃、倾、直接填埋或直接焚烧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应交由专业回收公司进行回收</w:t>
      </w:r>
      <w:r>
        <w:rPr>
          <w:rFonts w:hint="eastAsia" w:ascii="宋体" w:hAnsi="宋体" w:eastAsia="宋体" w:cs="宋体"/>
          <w:color w:val="auto"/>
          <w:highlight w:val="none"/>
        </w:rPr>
        <w:t>。</w:t>
      </w:r>
    </w:p>
    <w:p w14:paraId="23A9DB21">
      <w:pPr>
        <w:pStyle w:val="56"/>
        <w:rPr>
          <w:color w:val="auto"/>
          <w:highlight w:val="none"/>
        </w:rPr>
      </w:pPr>
      <w:bookmarkStart w:id="129" w:name="_Toc14851"/>
      <w:bookmarkStart w:id="130" w:name="_Toc20958"/>
      <w:bookmarkStart w:id="131" w:name="_Toc13009"/>
      <w:bookmarkStart w:id="132" w:name="_Toc22715"/>
      <w:bookmarkStart w:id="133" w:name="_Toc13029"/>
      <w:bookmarkStart w:id="134" w:name="_Toc4330"/>
      <w:r>
        <w:rPr>
          <w:rFonts w:hint="eastAsia"/>
          <w:color w:val="auto"/>
          <w:highlight w:val="none"/>
        </w:rPr>
        <w:t>质量承诺</w:t>
      </w:r>
      <w:bookmarkEnd w:id="127"/>
      <w:bookmarkEnd w:id="128"/>
      <w:bookmarkEnd w:id="129"/>
      <w:bookmarkEnd w:id="130"/>
      <w:bookmarkEnd w:id="131"/>
      <w:bookmarkEnd w:id="132"/>
      <w:bookmarkEnd w:id="133"/>
      <w:bookmarkEnd w:id="134"/>
    </w:p>
    <w:p w14:paraId="5C257E7C">
      <w:pPr>
        <w:pStyle w:val="83"/>
        <w:rPr>
          <w:rFonts w:ascii="宋体" w:hAnsi="宋体" w:eastAsia="宋体" w:cs="宋体"/>
          <w:color w:val="auto"/>
          <w:highlight w:val="none"/>
        </w:rPr>
      </w:pPr>
      <w:r>
        <w:rPr>
          <w:rFonts w:hint="eastAsia" w:ascii="宋体" w:hAnsi="宋体" w:eastAsia="宋体" w:cs="宋体"/>
          <w:color w:val="auto"/>
          <w:highlight w:val="none"/>
        </w:rPr>
        <w:t>制造商自产品出售起(一年或行驶6000</w:t>
      </w:r>
      <w:r>
        <w:rPr>
          <w:rFonts w:ascii="宋体" w:hAnsi="宋体" w:eastAsia="宋体" w:cs="宋体"/>
          <w:color w:val="auto"/>
          <w:highlight w:val="none"/>
        </w:rPr>
        <w:t> km</w:t>
      </w:r>
      <w:r>
        <w:rPr>
          <w:rFonts w:hint="eastAsia" w:ascii="宋体" w:hAnsi="宋体" w:eastAsia="宋体" w:cs="宋体"/>
          <w:color w:val="auto"/>
          <w:highlight w:val="none"/>
        </w:rPr>
        <w:t>，以先到为限)，确因产品制造不良而损坏或不能正常工作时(排除私自改装)，购买者凭发票和“三包”凭证到制造商的特约维修中心(站)免费办理修理换货、退货，超出保修期的车辆发生任何故障，均按有偿服务处理。</w:t>
      </w:r>
    </w:p>
    <w:p w14:paraId="3234D123">
      <w:pPr>
        <w:pStyle w:val="83"/>
        <w:rPr>
          <w:rFonts w:ascii="宋体" w:hAnsi="宋体" w:eastAsia="宋体" w:cs="宋体"/>
          <w:color w:val="auto"/>
          <w:highlight w:val="none"/>
        </w:rPr>
      </w:pPr>
      <w:r>
        <w:rPr>
          <w:rFonts w:hint="eastAsia" w:ascii="宋体" w:hAnsi="宋体" w:eastAsia="宋体" w:cs="宋体"/>
          <w:color w:val="auto"/>
          <w:highlight w:val="none"/>
        </w:rPr>
        <w:t>制造商应提供全方位的售后服务,用户在产品使用过程中如有任何问题匀应通过官方指定的服务热线电话响应，并在24</w:t>
      </w:r>
      <w:r>
        <w:rPr>
          <w:rFonts w:ascii="宋体" w:hAnsi="宋体" w:eastAsia="宋体" w:cs="宋体"/>
          <w:color w:val="auto"/>
          <w:highlight w:val="none"/>
        </w:rPr>
        <w:t> </w:t>
      </w:r>
      <w:r>
        <w:rPr>
          <w:rFonts w:hint="eastAsia" w:ascii="宋体" w:hAnsi="宋体" w:eastAsia="宋体" w:cs="宋体"/>
          <w:color w:val="auto"/>
          <w:highlight w:val="none"/>
        </w:rPr>
        <w:t>h内给予以解决方案。</w:t>
      </w:r>
    </w:p>
    <w:p w14:paraId="25724ED0">
      <w:pPr>
        <w:rPr>
          <w:rFonts w:ascii="宋体" w:hAnsi="宋体" w:eastAsia="宋体" w:cs="宋体"/>
          <w:color w:val="auto"/>
          <w:highlight w:val="none"/>
        </w:rPr>
      </w:pPr>
      <w:r>
        <w:rPr>
          <w:rFonts w:hint="eastAsia" w:ascii="宋体" w:hAnsi="宋体" w:eastAsia="宋体" w:cs="宋体"/>
          <w:color w:val="auto"/>
          <w:highlight w:val="none"/>
        </w:rPr>
        <w:br w:type="page"/>
      </w:r>
    </w:p>
    <w:p w14:paraId="5C55E2A4">
      <w:pPr>
        <w:pStyle w:val="132"/>
      </w:pPr>
      <w:bookmarkStart w:id="135" w:name="_Toc9544"/>
      <w:bookmarkStart w:id="136" w:name="_Toc10728"/>
      <w:bookmarkStart w:id="137" w:name="_Toc6141"/>
      <w:bookmarkStart w:id="138" w:name="_Toc7030"/>
      <w:bookmarkStart w:id="139" w:name="_Toc15502"/>
      <w:bookmarkStart w:id="140" w:name="_Toc5507"/>
      <w:bookmarkStart w:id="141" w:name="_Toc20362"/>
      <w:bookmarkStart w:id="142" w:name="_Toc23141"/>
      <w:r>
        <w:rPr>
          <w:rFonts w:hint="eastAsia"/>
          <w:lang w:val="en-US" w:eastAsia="zh-CN"/>
        </w:rPr>
        <w:t>附录A</w:t>
      </w:r>
      <w:r>
        <w:rPr>
          <w:rFonts w:hint="eastAsia"/>
        </w:rPr>
        <w:br w:type="textWrapping"/>
      </w:r>
      <w:r>
        <w:rPr>
          <w:rFonts w:hint="eastAsia"/>
          <w:lang w:eastAsia="zh-CN"/>
        </w:rPr>
        <w:t>（规范性）</w:t>
      </w:r>
      <w:r>
        <w:rPr>
          <w:rFonts w:hint="eastAsia"/>
          <w:lang w:eastAsia="zh-CN"/>
        </w:rPr>
        <w:br w:type="textWrapping"/>
      </w:r>
      <w:r>
        <w:rPr>
          <w:rFonts w:hint="eastAsia"/>
          <w:lang w:eastAsia="zh-CN"/>
        </w:rPr>
        <w:t>紧急断电装置试验方法</w:t>
      </w:r>
      <w:bookmarkEnd w:id="135"/>
      <w:bookmarkEnd w:id="136"/>
      <w:bookmarkEnd w:id="137"/>
      <w:bookmarkEnd w:id="138"/>
      <w:bookmarkEnd w:id="139"/>
      <w:bookmarkEnd w:id="140"/>
      <w:bookmarkEnd w:id="141"/>
      <w:bookmarkEnd w:id="142"/>
    </w:p>
    <w:p w14:paraId="78D61AD0">
      <w:pPr>
        <w:pStyle w:val="87"/>
        <w:numPr>
          <w:ilvl w:val="-1"/>
          <w:numId w:val="0"/>
        </w:numPr>
        <w:outlineLvl w:val="9"/>
        <w:rPr>
          <w:rFonts w:hint="eastAsia"/>
        </w:rPr>
      </w:pPr>
      <w:bookmarkStart w:id="143" w:name="_Toc11019"/>
      <w:bookmarkStart w:id="144" w:name="_Toc14883"/>
      <w:bookmarkStart w:id="145" w:name="_Toc18784"/>
      <w:bookmarkStart w:id="146" w:name="_Toc29351"/>
      <w:bookmarkStart w:id="147" w:name="_Toc9518"/>
      <w:r>
        <w:rPr>
          <w:rFonts w:hint="eastAsia"/>
          <w:lang w:val="en-US" w:eastAsia="zh-CN"/>
        </w:rPr>
        <w:t>A.1</w:t>
      </w:r>
      <w:r>
        <w:rPr>
          <w:rFonts w:hint="eastAsia"/>
        </w:rPr>
        <w:t>目的</w:t>
      </w:r>
      <w:bookmarkEnd w:id="143"/>
      <w:bookmarkEnd w:id="144"/>
      <w:bookmarkEnd w:id="145"/>
      <w:bookmarkEnd w:id="146"/>
      <w:bookmarkEnd w:id="147"/>
    </w:p>
    <w:p w14:paraId="0E9C992B">
      <w:pPr>
        <w:pStyle w:val="27"/>
        <w:rPr>
          <w:rFonts w:hint="default"/>
          <w:color w:val="auto"/>
          <w:highlight w:val="none"/>
        </w:rPr>
      </w:pPr>
      <w:r>
        <w:rPr>
          <w:rFonts w:hint="default"/>
          <w:color w:val="auto"/>
          <w:highlight w:val="none"/>
        </w:rPr>
        <w:t>本附录规定了越野摩托车紧急断电装置（以下简称“装置”）的技术要求、试验方法和合格判定准则，用于验证其是否符合本标准第6.2条的要求。</w:t>
      </w:r>
    </w:p>
    <w:p w14:paraId="55343C60">
      <w:pPr>
        <w:pStyle w:val="87"/>
        <w:numPr>
          <w:ilvl w:val="-1"/>
          <w:numId w:val="0"/>
        </w:numPr>
        <w:outlineLvl w:val="9"/>
        <w:rPr>
          <w:rFonts w:hint="eastAsia"/>
        </w:rPr>
      </w:pPr>
      <w:bookmarkStart w:id="148" w:name="_Toc1876"/>
      <w:bookmarkStart w:id="149" w:name="_Toc8615"/>
      <w:bookmarkStart w:id="150" w:name="_Toc19455"/>
      <w:bookmarkStart w:id="151" w:name="_Toc14992"/>
      <w:bookmarkStart w:id="152" w:name="_Toc7399"/>
      <w:r>
        <w:rPr>
          <w:rFonts w:hint="eastAsia"/>
          <w:lang w:val="en-US" w:eastAsia="zh-CN"/>
        </w:rPr>
        <w:t>A.2</w:t>
      </w:r>
      <w:r>
        <w:rPr>
          <w:rFonts w:hint="eastAsia"/>
          <w:kern w:val="21"/>
        </w:rPr>
        <w:t>技术要求与对应试验方</w:t>
      </w:r>
      <w:r>
        <w:rPr>
          <w:rFonts w:hint="eastAsia"/>
        </w:rPr>
        <w:t>法</w:t>
      </w:r>
      <w:bookmarkEnd w:id="148"/>
      <w:bookmarkEnd w:id="149"/>
      <w:bookmarkEnd w:id="150"/>
      <w:bookmarkEnd w:id="151"/>
      <w:bookmarkEnd w:id="152"/>
    </w:p>
    <w:p w14:paraId="18BF4B9E">
      <w:pPr>
        <w:pStyle w:val="136"/>
        <w:rPr>
          <w:rFonts w:hint="default"/>
        </w:rPr>
      </w:pPr>
      <w:r>
        <w:rPr>
          <w:rFonts w:hint="default"/>
        </w:rPr>
        <w:t>A.2.1 基本功能要求</w:t>
      </w:r>
    </w:p>
    <w:p w14:paraId="1AA23F21">
      <w:pPr>
        <w:pStyle w:val="27"/>
        <w:rPr>
          <w:rFonts w:hint="default"/>
          <w:color w:val="auto"/>
          <w:highlight w:val="none"/>
        </w:rPr>
      </w:pPr>
      <w:r>
        <w:rPr>
          <w:rFonts w:hint="default"/>
          <w:color w:val="auto"/>
          <w:highlight w:val="none"/>
        </w:rPr>
        <w:t>要求： 装置必须能在触发后迅速切断高压系统电源。</w:t>
      </w:r>
      <w:r>
        <w:rPr>
          <w:rFonts w:hint="default"/>
          <w:color w:val="auto"/>
          <w:highlight w:val="none"/>
        </w:rPr>
        <w:br w:type="textWrapping"/>
      </w:r>
      <w:r>
        <w:rPr>
          <w:rFonts w:hint="default"/>
          <w:color w:val="auto"/>
          <w:highlight w:val="none"/>
        </w:rPr>
        <w:t>试验方法：</w:t>
      </w:r>
    </w:p>
    <w:p w14:paraId="63335FF0">
      <w:pPr>
        <w:pStyle w:val="27"/>
        <w:rPr>
          <w:color w:val="auto"/>
          <w:highlight w:val="none"/>
        </w:rPr>
      </w:pPr>
    </w:p>
    <w:p w14:paraId="314C2FDA">
      <w:pPr>
        <w:pStyle w:val="27"/>
        <w:rPr>
          <w:color w:val="auto"/>
          <w:highlight w:val="none"/>
        </w:rPr>
      </w:pPr>
      <w:r>
        <w:rPr>
          <w:rFonts w:hint="default"/>
          <w:color w:val="auto"/>
          <w:highlight w:val="none"/>
        </w:rPr>
        <w:t>试验条件： 将装置接入一个模拟整车高压电气系统的测试台架。测试台架应包含模拟电源（电压与整车高压系统一致，如72V DC或更高）、主接触器、负载（如可模拟电机工作的额定负载及峰值负载）和测量设备（高精度电流探头、电压探头、高速数据记录仪或示波器）。</w:t>
      </w:r>
    </w:p>
    <w:p w14:paraId="54E14547">
      <w:pPr>
        <w:pStyle w:val="27"/>
        <w:rPr>
          <w:color w:val="auto"/>
          <w:highlight w:val="none"/>
        </w:rPr>
      </w:pPr>
    </w:p>
    <w:p w14:paraId="72A0CF99">
      <w:pPr>
        <w:pStyle w:val="27"/>
        <w:rPr>
          <w:color w:val="auto"/>
          <w:highlight w:val="none"/>
        </w:rPr>
      </w:pPr>
      <w:r>
        <w:rPr>
          <w:rFonts w:hint="default"/>
          <w:color w:val="auto"/>
          <w:highlight w:val="none"/>
        </w:rPr>
        <w:t>试验步骤：</w:t>
      </w:r>
      <w:r>
        <w:rPr>
          <w:rFonts w:hint="default"/>
          <w:color w:val="auto"/>
          <w:highlight w:val="none"/>
        </w:rPr>
        <w:br w:type="textWrapping"/>
      </w:r>
      <w:r>
        <w:rPr>
          <w:rFonts w:hint="eastAsia"/>
        </w:rPr>
        <w:t>a) 在额定负载下，使系统正常运行。</w:t>
      </w:r>
      <w:r>
        <w:rPr>
          <w:rFonts w:hint="eastAsia"/>
        </w:rPr>
        <w:br w:type="textWrapping"/>
      </w:r>
      <w:r>
        <w:rPr>
          <w:rFonts w:hint="eastAsia"/>
        </w:rPr>
        <w:t>b) 触发紧急断电装置。</w:t>
      </w:r>
      <w:r>
        <w:rPr>
          <w:rFonts w:hint="eastAsia"/>
        </w:rPr>
        <w:br w:type="textWrapping"/>
      </w:r>
      <w:r>
        <w:rPr>
          <w:rFonts w:hint="eastAsia"/>
        </w:rPr>
        <w:t>c) 使用高速数据记录仪（采样率不低于1MHz）记录从触发信号开始到高压回路电流降至安全水平（如＜1mA）的全响应时间（T_response）。</w:t>
      </w:r>
      <w:r>
        <w:rPr>
          <w:rFonts w:hint="eastAsia"/>
        </w:rPr>
        <w:br w:type="textWrapping"/>
      </w:r>
      <w:r>
        <w:rPr>
          <w:rFonts w:hint="eastAsia"/>
        </w:rPr>
        <w:t>d) 重复试验3次。</w:t>
      </w:r>
    </w:p>
    <w:p w14:paraId="0E7F5AEC">
      <w:pPr>
        <w:pStyle w:val="27"/>
        <w:rPr>
          <w:color w:val="auto"/>
          <w:highlight w:val="none"/>
        </w:rPr>
      </w:pPr>
    </w:p>
    <w:p w14:paraId="4705B662">
      <w:pPr>
        <w:pStyle w:val="27"/>
        <w:rPr>
          <w:color w:val="auto"/>
          <w:highlight w:val="none"/>
        </w:rPr>
      </w:pPr>
      <w:r>
        <w:rPr>
          <w:rFonts w:hint="default"/>
          <w:color w:val="auto"/>
          <w:highlight w:val="none"/>
        </w:rPr>
        <w:t>合格判定： 3次试验的全响应时间均应不大于50ms。试验后，装置功能应正常。</w:t>
      </w:r>
    </w:p>
    <w:p w14:paraId="28C4BD92">
      <w:pPr>
        <w:pStyle w:val="136"/>
        <w:rPr>
          <w:rFonts w:hint="default"/>
        </w:rPr>
      </w:pPr>
      <w:r>
        <w:rPr>
          <w:rFonts w:hint="default"/>
        </w:rPr>
        <w:t>A.2.2 防护等级（IP6</w:t>
      </w:r>
      <w:r>
        <w:rPr>
          <w:rFonts w:hint="eastAsia"/>
          <w:lang w:val="en-US" w:eastAsia="zh-CN"/>
        </w:rPr>
        <w:t>7</w:t>
      </w:r>
      <w:r>
        <w:rPr>
          <w:rFonts w:hint="default"/>
        </w:rPr>
        <w:t>）</w:t>
      </w:r>
    </w:p>
    <w:p w14:paraId="710ABB27">
      <w:pPr>
        <w:pStyle w:val="27"/>
        <w:rPr>
          <w:rFonts w:hint="default"/>
          <w:color w:val="auto"/>
          <w:highlight w:val="none"/>
        </w:rPr>
      </w:pPr>
      <w:r>
        <w:rPr>
          <w:rFonts w:hint="default"/>
          <w:color w:val="auto"/>
          <w:highlight w:val="none"/>
        </w:rPr>
        <w:t>要求： 装置应具备防水、防尘、防泥沙性能，防护等级不低于IP6</w:t>
      </w:r>
      <w:r>
        <w:rPr>
          <w:rFonts w:hint="eastAsia"/>
          <w:color w:val="auto"/>
          <w:highlight w:val="none"/>
          <w:lang w:val="en-US" w:eastAsia="zh-CN"/>
        </w:rPr>
        <w:t>7</w:t>
      </w:r>
      <w:r>
        <w:rPr>
          <w:rFonts w:hint="default"/>
          <w:color w:val="auto"/>
          <w:highlight w:val="none"/>
        </w:rPr>
        <w:t>。</w:t>
      </w:r>
      <w:r>
        <w:rPr>
          <w:rFonts w:hint="default"/>
          <w:color w:val="auto"/>
          <w:highlight w:val="none"/>
        </w:rPr>
        <w:br w:type="textWrapping"/>
      </w:r>
      <w:r>
        <w:rPr>
          <w:rFonts w:hint="default"/>
          <w:color w:val="auto"/>
          <w:highlight w:val="none"/>
        </w:rPr>
        <w:t>试验方法：</w:t>
      </w:r>
    </w:p>
    <w:p w14:paraId="230C985E">
      <w:pPr>
        <w:pStyle w:val="27"/>
        <w:rPr>
          <w:color w:val="auto"/>
          <w:highlight w:val="none"/>
        </w:rPr>
      </w:pPr>
    </w:p>
    <w:p w14:paraId="50D832F5">
      <w:pPr>
        <w:pStyle w:val="27"/>
        <w:rPr>
          <w:color w:val="auto"/>
          <w:highlight w:val="none"/>
        </w:rPr>
      </w:pPr>
      <w:r>
        <w:rPr>
          <w:rFonts w:hint="default"/>
          <w:color w:val="auto"/>
          <w:highlight w:val="none"/>
        </w:rPr>
        <w:t>防尘试验（IP6</w:t>
      </w:r>
      <w:r>
        <w:rPr>
          <w:rFonts w:hint="eastAsia"/>
          <w:color w:val="auto"/>
          <w:highlight w:val="none"/>
          <w:lang w:val="en-US" w:eastAsia="zh-CN"/>
        </w:rPr>
        <w:t>X</w:t>
      </w:r>
      <w:r>
        <w:rPr>
          <w:rFonts w:hint="default"/>
          <w:color w:val="auto"/>
          <w:highlight w:val="none"/>
        </w:rPr>
        <w:t>）：</w:t>
      </w:r>
      <w:r>
        <w:rPr>
          <w:rFonts w:hint="default"/>
          <w:color w:val="auto"/>
          <w:highlight w:val="none"/>
        </w:rPr>
        <w:br w:type="textWrapping"/>
      </w:r>
      <w:r>
        <w:rPr>
          <w:rFonts w:hint="default"/>
          <w:color w:val="auto"/>
          <w:highlight w:val="none"/>
        </w:rPr>
        <w:t>a) 按GB/T 4208中第13.4条（尘密）进行试验。</w:t>
      </w:r>
      <w:r>
        <w:rPr>
          <w:rFonts w:hint="default"/>
          <w:color w:val="auto"/>
          <w:highlight w:val="none"/>
        </w:rPr>
        <w:br w:type="textWrapping"/>
      </w:r>
      <w:r>
        <w:rPr>
          <w:rFonts w:hint="default"/>
          <w:color w:val="auto"/>
          <w:highlight w:val="none"/>
        </w:rPr>
        <w:t>b) 试验持续时间：8小时。</w:t>
      </w:r>
      <w:r>
        <w:rPr>
          <w:rFonts w:hint="default"/>
          <w:color w:val="auto"/>
          <w:highlight w:val="none"/>
        </w:rPr>
        <w:br w:type="textWrapping"/>
      </w:r>
      <w:r>
        <w:rPr>
          <w:rFonts w:hint="default"/>
          <w:color w:val="auto"/>
          <w:highlight w:val="none"/>
        </w:rPr>
        <w:t>c) 试验后，打开装置外壳，检查内部。</w:t>
      </w:r>
    </w:p>
    <w:p w14:paraId="7734E34C">
      <w:pPr>
        <w:pStyle w:val="27"/>
        <w:rPr>
          <w:color w:val="auto"/>
          <w:highlight w:val="none"/>
        </w:rPr>
      </w:pPr>
    </w:p>
    <w:p w14:paraId="7156C16D">
      <w:pPr>
        <w:pStyle w:val="27"/>
        <w:rPr>
          <w:color w:val="auto"/>
          <w:highlight w:val="none"/>
        </w:rPr>
      </w:pPr>
    </w:p>
    <w:p w14:paraId="576AB9B5">
      <w:pPr>
        <w:pStyle w:val="27"/>
        <w:rPr>
          <w:color w:val="auto"/>
          <w:highlight w:val="none"/>
        </w:rPr>
      </w:pPr>
      <w:r>
        <w:rPr>
          <w:rFonts w:hint="default"/>
          <w:color w:val="auto"/>
          <w:highlight w:val="none"/>
        </w:rPr>
        <w:t>防水试验（IPX7）：</w:t>
      </w:r>
      <w:r>
        <w:rPr>
          <w:rFonts w:hint="default"/>
          <w:color w:val="auto"/>
          <w:highlight w:val="none"/>
        </w:rPr>
        <w:br w:type="textWrapping"/>
      </w:r>
      <w:r>
        <w:rPr>
          <w:rFonts w:hint="default"/>
          <w:color w:val="auto"/>
          <w:highlight w:val="none"/>
        </w:rPr>
        <w:t>a)  按 GB/T 4208（IP 代码）中 IPX7（浸水试验） 进行试验。。</w:t>
      </w:r>
      <w:r>
        <w:rPr>
          <w:rFonts w:hint="default"/>
          <w:color w:val="auto"/>
          <w:highlight w:val="none"/>
        </w:rPr>
        <w:br w:type="textWrapping"/>
      </w:r>
      <w:r>
        <w:rPr>
          <w:rFonts w:hint="default"/>
          <w:color w:val="auto"/>
          <w:highlight w:val="none"/>
        </w:rPr>
        <w:t>b) 试验条件：静水浸没 30 min；水温 15–35 ℃；浸没深度为样件最低点至水面 1.00 ± 0.05 m。当样件高度不足以满足上述要求时</w:t>
      </w:r>
      <w:bookmarkStart w:id="160" w:name="_GoBack"/>
      <w:bookmarkEnd w:id="160"/>
      <w:r>
        <w:rPr>
          <w:rFonts w:hint="default"/>
          <w:color w:val="auto"/>
          <w:highlight w:val="none"/>
        </w:rPr>
        <w:t>，样件最高点应至少在水面下 0.15 m。试验姿态按装车姿态或最不利姿态确定。</w:t>
      </w:r>
      <w:r>
        <w:rPr>
          <w:rFonts w:hint="default"/>
          <w:color w:val="auto"/>
          <w:highlight w:val="none"/>
        </w:rPr>
        <w:br w:type="textWrapping"/>
      </w:r>
      <w:r>
        <w:rPr>
          <w:rFonts w:hint="default"/>
          <w:color w:val="auto"/>
          <w:highlight w:val="none"/>
        </w:rPr>
        <w:t>c) 试验结束后取出样件，自然滴水不超过 3 min，在 10 min 内进行功能测试（含紧急断电触发/复位、互锁状态检查等）。</w:t>
      </w:r>
    </w:p>
    <w:p w14:paraId="673CFC1A">
      <w:pPr>
        <w:pStyle w:val="27"/>
        <w:rPr>
          <w:color w:val="auto"/>
          <w:highlight w:val="none"/>
        </w:rPr>
      </w:pPr>
    </w:p>
    <w:p w14:paraId="7CA739F6">
      <w:pPr>
        <w:pStyle w:val="27"/>
        <w:rPr>
          <w:color w:val="auto"/>
          <w:highlight w:val="none"/>
        </w:rPr>
      </w:pPr>
      <w:r>
        <w:rPr>
          <w:rFonts w:hint="default"/>
          <w:color w:val="auto"/>
          <w:highlight w:val="none"/>
        </w:rPr>
        <w:t>合格判定： 防尘试验后，内部无可见灰尘沉积。防水试验后，装置应能立即正常触发并切断电路，且无有害进水（功能腔体内不得出现积水或连片水迹；允许非功能腔体轻微潮湿但不得影响功能与安全）。</w:t>
      </w:r>
    </w:p>
    <w:p w14:paraId="61C5BEB9">
      <w:pPr>
        <w:pStyle w:val="27"/>
        <w:rPr>
          <w:color w:val="auto"/>
          <w:highlight w:val="none"/>
        </w:rPr>
      </w:pPr>
    </w:p>
    <w:p w14:paraId="55B211AC">
      <w:pPr>
        <w:pStyle w:val="136"/>
        <w:rPr>
          <w:rFonts w:hint="default"/>
        </w:rPr>
      </w:pPr>
      <w:r>
        <w:rPr>
          <w:rFonts w:hint="default"/>
        </w:rPr>
        <w:t>A.2.3 操作简便性</w:t>
      </w:r>
    </w:p>
    <w:p w14:paraId="0C16055D">
      <w:pPr>
        <w:pStyle w:val="27"/>
        <w:rPr>
          <w:rFonts w:hint="default"/>
          <w:color w:val="auto"/>
          <w:highlight w:val="none"/>
        </w:rPr>
      </w:pPr>
      <w:r>
        <w:rPr>
          <w:rFonts w:hint="default"/>
          <w:color w:val="auto"/>
          <w:highlight w:val="none"/>
        </w:rPr>
        <w:t>要求： 紧急断电操作应简便，无需复杂动作即可触发。</w:t>
      </w:r>
      <w:r>
        <w:rPr>
          <w:rFonts w:hint="default"/>
          <w:color w:val="auto"/>
          <w:highlight w:val="none"/>
        </w:rPr>
        <w:br w:type="textWrapping"/>
      </w:r>
      <w:r>
        <w:rPr>
          <w:rFonts w:hint="default"/>
          <w:color w:val="auto"/>
          <w:highlight w:val="none"/>
        </w:rPr>
        <w:t>试验方法：</w:t>
      </w:r>
    </w:p>
    <w:p w14:paraId="0CB963E5">
      <w:pPr>
        <w:pStyle w:val="27"/>
        <w:rPr>
          <w:color w:val="auto"/>
          <w:highlight w:val="none"/>
        </w:rPr>
      </w:pPr>
    </w:p>
    <w:p w14:paraId="4276E4FF">
      <w:pPr>
        <w:pStyle w:val="27"/>
        <w:rPr>
          <w:color w:val="auto"/>
          <w:highlight w:val="none"/>
        </w:rPr>
      </w:pPr>
      <w:r>
        <w:rPr>
          <w:rFonts w:hint="default"/>
          <w:color w:val="auto"/>
          <w:highlight w:val="none"/>
        </w:rPr>
        <w:t>试验条件： 将整车或装有装置的模拟把手总成固定。</w:t>
      </w:r>
    </w:p>
    <w:p w14:paraId="029502C1">
      <w:pPr>
        <w:pStyle w:val="27"/>
        <w:rPr>
          <w:color w:val="auto"/>
          <w:highlight w:val="none"/>
        </w:rPr>
      </w:pPr>
    </w:p>
    <w:p w14:paraId="350EC696">
      <w:pPr>
        <w:pStyle w:val="27"/>
        <w:rPr>
          <w:color w:val="auto"/>
          <w:highlight w:val="none"/>
        </w:rPr>
      </w:pPr>
      <w:r>
        <w:rPr>
          <w:rFonts w:hint="default"/>
          <w:color w:val="auto"/>
          <w:highlight w:val="none"/>
        </w:rPr>
        <w:t>试验步骤：</w:t>
      </w:r>
      <w:r>
        <w:rPr>
          <w:rFonts w:hint="default"/>
          <w:color w:val="auto"/>
          <w:highlight w:val="none"/>
        </w:rPr>
        <w:br w:type="textWrapping"/>
      </w:r>
      <w:r>
        <w:rPr>
          <w:rFonts w:hint="default"/>
          <w:color w:val="auto"/>
          <w:highlight w:val="none"/>
        </w:rPr>
        <w:t>a) 操作性评价： 由3名不熟悉该车型的操作人员，佩戴越野摩托车手套，模拟在紧急情况下（如车辆倒覆后）的单手操作。评估其能否盲操作且一次动作即可成功触发。</w:t>
      </w:r>
      <w:r>
        <w:rPr>
          <w:rFonts w:hint="default"/>
          <w:color w:val="auto"/>
          <w:highlight w:val="none"/>
        </w:rPr>
        <w:br w:type="textWrapping"/>
      </w:r>
      <w:r>
        <w:rPr>
          <w:rFonts w:hint="default"/>
          <w:color w:val="auto"/>
          <w:highlight w:val="none"/>
        </w:rPr>
        <w:t>b) 触发力测试： 使用推拉力计，测量触发装置所需的最大力（如按钮的按压力或开关的拨动力）。</w:t>
      </w:r>
    </w:p>
    <w:p w14:paraId="5266BFFF">
      <w:pPr>
        <w:pStyle w:val="27"/>
        <w:rPr>
          <w:color w:val="auto"/>
          <w:highlight w:val="none"/>
        </w:rPr>
      </w:pPr>
    </w:p>
    <w:p w14:paraId="60A3B92C">
      <w:pPr>
        <w:pStyle w:val="27"/>
        <w:rPr>
          <w:color w:val="auto"/>
          <w:highlight w:val="none"/>
        </w:rPr>
      </w:pPr>
      <w:r>
        <w:rPr>
          <w:rFonts w:hint="default"/>
          <w:color w:val="auto"/>
          <w:highlight w:val="none"/>
        </w:rPr>
        <w:t>合格判定： 所有操作人员均能快速（≤3秒）找到并成功触发装置。触发力应在5N ~ 20N之间，既确保不易误触，又保证紧急情况下能轻松触发。</w:t>
      </w:r>
    </w:p>
    <w:p w14:paraId="32A4932B">
      <w:pPr>
        <w:pStyle w:val="27"/>
        <w:rPr>
          <w:color w:val="auto"/>
          <w:highlight w:val="none"/>
        </w:rPr>
      </w:pPr>
    </w:p>
    <w:p w14:paraId="0573D375">
      <w:pPr>
        <w:pStyle w:val="136"/>
        <w:rPr>
          <w:rFonts w:hint="default"/>
        </w:rPr>
      </w:pPr>
      <w:r>
        <w:rPr>
          <w:rFonts w:hint="default"/>
        </w:rPr>
        <w:t>A.2.4 环境耐久性</w:t>
      </w:r>
    </w:p>
    <w:p w14:paraId="63623FEC">
      <w:pPr>
        <w:pStyle w:val="27"/>
        <w:rPr>
          <w:rFonts w:hint="default"/>
          <w:color w:val="auto"/>
          <w:highlight w:val="none"/>
        </w:rPr>
      </w:pPr>
      <w:r>
        <w:rPr>
          <w:rFonts w:hint="default"/>
          <w:color w:val="auto"/>
          <w:highlight w:val="none"/>
        </w:rPr>
        <w:t>要求： 装置应适应越野环境，具备高可靠性和耐久性。</w:t>
      </w:r>
      <w:r>
        <w:rPr>
          <w:rFonts w:hint="default"/>
          <w:color w:val="auto"/>
          <w:highlight w:val="none"/>
        </w:rPr>
        <w:br w:type="textWrapping"/>
      </w:r>
      <w:r>
        <w:rPr>
          <w:rFonts w:hint="default"/>
          <w:color w:val="auto"/>
          <w:highlight w:val="none"/>
        </w:rPr>
        <w:t>试验方法：</w:t>
      </w:r>
    </w:p>
    <w:p w14:paraId="577522FC">
      <w:pPr>
        <w:pStyle w:val="27"/>
        <w:rPr>
          <w:color w:val="auto"/>
          <w:highlight w:val="none"/>
        </w:rPr>
      </w:pPr>
    </w:p>
    <w:p w14:paraId="35E0D03F">
      <w:pPr>
        <w:pStyle w:val="27"/>
        <w:rPr>
          <w:color w:val="auto"/>
          <w:highlight w:val="none"/>
        </w:rPr>
      </w:pPr>
      <w:r>
        <w:rPr>
          <w:rFonts w:hint="default"/>
          <w:color w:val="auto"/>
          <w:highlight w:val="none"/>
        </w:rPr>
        <w:t>机械寿命试验：</w:t>
      </w:r>
      <w:r>
        <w:rPr>
          <w:rFonts w:hint="default"/>
          <w:color w:val="auto"/>
          <w:highlight w:val="none"/>
        </w:rPr>
        <w:br w:type="textWrapping"/>
      </w:r>
      <w:r>
        <w:rPr>
          <w:rFonts w:hint="default"/>
          <w:color w:val="auto"/>
          <w:highlight w:val="none"/>
        </w:rPr>
        <w:t>a) 将装置安装在寿命试验台上，以10~15次/分钟的频率进行触发-复位循环。</w:t>
      </w:r>
      <w:r>
        <w:rPr>
          <w:rFonts w:hint="default"/>
          <w:color w:val="auto"/>
          <w:highlight w:val="none"/>
        </w:rPr>
        <w:br w:type="textWrapping"/>
      </w:r>
      <w:r>
        <w:rPr>
          <w:rFonts w:hint="default"/>
          <w:color w:val="auto"/>
          <w:highlight w:val="none"/>
        </w:rPr>
        <w:t>b) 总循环次数不少于5000次。</w:t>
      </w:r>
      <w:r>
        <w:rPr>
          <w:rFonts w:hint="default"/>
          <w:color w:val="auto"/>
          <w:highlight w:val="none"/>
        </w:rPr>
        <w:br w:type="textWrapping"/>
      </w:r>
      <w:r>
        <w:rPr>
          <w:rFonts w:hint="default"/>
          <w:color w:val="auto"/>
          <w:highlight w:val="none"/>
        </w:rPr>
        <w:t>c) 每完成1000次循环后，进行一次基本功能测试（A.2.1）。</w:t>
      </w:r>
    </w:p>
    <w:p w14:paraId="55D9E6C8">
      <w:pPr>
        <w:pStyle w:val="27"/>
        <w:rPr>
          <w:color w:val="auto"/>
          <w:highlight w:val="none"/>
        </w:rPr>
      </w:pPr>
    </w:p>
    <w:p w14:paraId="27C63C17">
      <w:pPr>
        <w:pStyle w:val="27"/>
        <w:rPr>
          <w:color w:val="auto"/>
          <w:highlight w:val="none"/>
        </w:rPr>
      </w:pPr>
      <w:r>
        <w:rPr>
          <w:rFonts w:hint="default"/>
          <w:color w:val="auto"/>
          <w:highlight w:val="none"/>
        </w:rPr>
        <w:t>振动试验：</w:t>
      </w:r>
      <w:r>
        <w:rPr>
          <w:rFonts w:hint="default"/>
          <w:color w:val="auto"/>
          <w:highlight w:val="none"/>
        </w:rPr>
        <w:br w:type="textWrapping"/>
      </w:r>
      <w:r>
        <w:rPr>
          <w:rFonts w:hint="default"/>
          <w:color w:val="auto"/>
          <w:highlight w:val="none"/>
        </w:rPr>
        <w:t>a) 按GB/T 2423.10或QC/T 413（汽车电气设备基本技术条件）中关于摩托车的振动要求进行。</w:t>
      </w:r>
      <w:r>
        <w:rPr>
          <w:rFonts w:hint="default"/>
          <w:color w:val="auto"/>
          <w:highlight w:val="none"/>
        </w:rPr>
        <w:br w:type="textWrapping"/>
      </w:r>
      <w:r>
        <w:rPr>
          <w:rFonts w:hint="default"/>
          <w:color w:val="auto"/>
          <w:highlight w:val="none"/>
        </w:rPr>
        <w:t>b) 通常需进行X, Y, Z三方向的扫频振动试验。</w:t>
      </w:r>
      <w:r>
        <w:rPr>
          <w:rFonts w:hint="default"/>
          <w:color w:val="auto"/>
          <w:highlight w:val="none"/>
        </w:rPr>
        <w:br w:type="textWrapping"/>
      </w:r>
      <w:r>
        <w:rPr>
          <w:rFonts w:hint="default"/>
          <w:color w:val="auto"/>
          <w:highlight w:val="none"/>
        </w:rPr>
        <w:t>c) 试验过程中及结束后，装置功能应正常，无松脱、异响。</w:t>
      </w:r>
    </w:p>
    <w:p w14:paraId="4EA8F3B2">
      <w:pPr>
        <w:pStyle w:val="27"/>
        <w:rPr>
          <w:color w:val="auto"/>
          <w:highlight w:val="none"/>
        </w:rPr>
      </w:pPr>
    </w:p>
    <w:p w14:paraId="69F868DD">
      <w:pPr>
        <w:pStyle w:val="27"/>
        <w:rPr>
          <w:color w:val="auto"/>
          <w:highlight w:val="none"/>
        </w:rPr>
      </w:pPr>
      <w:r>
        <w:rPr>
          <w:rFonts w:hint="default"/>
          <w:color w:val="auto"/>
          <w:highlight w:val="none"/>
        </w:rPr>
        <w:t>盐雾试验（可选但强烈推荐）：</w:t>
      </w:r>
      <w:r>
        <w:rPr>
          <w:rFonts w:hint="default"/>
          <w:color w:val="auto"/>
          <w:highlight w:val="none"/>
        </w:rPr>
        <w:br w:type="textWrapping"/>
      </w:r>
      <w:r>
        <w:rPr>
          <w:rFonts w:hint="default"/>
          <w:color w:val="auto"/>
          <w:highlight w:val="none"/>
        </w:rPr>
        <w:t>a) 按GB/T 10125的中性盐雾（NSS）试验方法，进行96小时试验。</w:t>
      </w:r>
      <w:r>
        <w:rPr>
          <w:rFonts w:hint="default"/>
          <w:color w:val="auto"/>
          <w:highlight w:val="none"/>
        </w:rPr>
        <w:br w:type="textWrapping"/>
      </w:r>
      <w:r>
        <w:rPr>
          <w:rFonts w:hint="default"/>
          <w:color w:val="auto"/>
          <w:highlight w:val="none"/>
        </w:rPr>
        <w:t>b) 试验后，检查外壳应无严重腐蚀，功能正常。</w:t>
      </w:r>
    </w:p>
    <w:p w14:paraId="221F184D">
      <w:pPr>
        <w:pStyle w:val="27"/>
        <w:rPr>
          <w:color w:val="auto"/>
          <w:highlight w:val="none"/>
        </w:rPr>
      </w:pPr>
    </w:p>
    <w:p w14:paraId="6BDBD750">
      <w:pPr>
        <w:pStyle w:val="27"/>
        <w:rPr>
          <w:color w:val="auto"/>
          <w:highlight w:val="none"/>
        </w:rPr>
      </w:pPr>
      <w:r>
        <w:rPr>
          <w:rFonts w:hint="default"/>
          <w:color w:val="auto"/>
          <w:highlight w:val="none"/>
        </w:rPr>
        <w:t>合格判定： 寿命试验后，功能正常，触点无熔焊，性能无衰减。振动及盐雾试验后，功能正常，外观无损坏。</w:t>
      </w:r>
    </w:p>
    <w:p w14:paraId="176654D1">
      <w:pPr>
        <w:pStyle w:val="27"/>
        <w:rPr>
          <w:color w:val="auto"/>
          <w:highlight w:val="none"/>
        </w:rPr>
      </w:pPr>
    </w:p>
    <w:p w14:paraId="0ECA9713">
      <w:pPr>
        <w:pStyle w:val="136"/>
        <w:rPr>
          <w:rFonts w:hint="default"/>
        </w:rPr>
      </w:pPr>
      <w:r>
        <w:rPr>
          <w:rFonts w:hint="default"/>
        </w:rPr>
        <w:t>A.2.5 高负载分断能力（极端情况验证）</w:t>
      </w:r>
    </w:p>
    <w:p w14:paraId="467CE855">
      <w:pPr>
        <w:pStyle w:val="27"/>
        <w:rPr>
          <w:rFonts w:hint="default"/>
          <w:color w:val="auto"/>
          <w:highlight w:val="none"/>
        </w:rPr>
      </w:pPr>
      <w:r>
        <w:rPr>
          <w:rFonts w:hint="default"/>
          <w:color w:val="auto"/>
          <w:highlight w:val="none"/>
        </w:rPr>
        <w:t>要求： 装置应在极端故障情况下也能安全可靠地切断电源。</w:t>
      </w:r>
      <w:r>
        <w:rPr>
          <w:rFonts w:hint="default"/>
          <w:color w:val="auto"/>
          <w:highlight w:val="none"/>
        </w:rPr>
        <w:br w:type="textWrapping"/>
      </w:r>
      <w:r>
        <w:rPr>
          <w:rFonts w:hint="default"/>
          <w:color w:val="auto"/>
          <w:highlight w:val="none"/>
        </w:rPr>
        <w:t>试验方法：</w:t>
      </w:r>
    </w:p>
    <w:p w14:paraId="28C8E74A">
      <w:pPr>
        <w:pStyle w:val="27"/>
        <w:rPr>
          <w:color w:val="auto"/>
          <w:highlight w:val="none"/>
        </w:rPr>
      </w:pPr>
    </w:p>
    <w:p w14:paraId="1FDDC1AB">
      <w:pPr>
        <w:pStyle w:val="27"/>
        <w:rPr>
          <w:color w:val="auto"/>
          <w:highlight w:val="none"/>
        </w:rPr>
      </w:pPr>
      <w:r>
        <w:rPr>
          <w:rFonts w:hint="default"/>
          <w:color w:val="auto"/>
          <w:highlight w:val="none"/>
        </w:rPr>
        <w:t>试验条件： 在测试台架上，将负载调整至系统允许的最大峰值电流（如控制器的限流值）。</w:t>
      </w:r>
    </w:p>
    <w:p w14:paraId="3597913C">
      <w:pPr>
        <w:pStyle w:val="27"/>
        <w:rPr>
          <w:color w:val="auto"/>
          <w:highlight w:val="none"/>
        </w:rPr>
      </w:pPr>
    </w:p>
    <w:p w14:paraId="759E4694">
      <w:pPr>
        <w:pStyle w:val="27"/>
        <w:rPr>
          <w:color w:val="auto"/>
          <w:highlight w:val="none"/>
        </w:rPr>
      </w:pPr>
      <w:r>
        <w:rPr>
          <w:rFonts w:hint="default"/>
          <w:color w:val="auto"/>
          <w:highlight w:val="none"/>
        </w:rPr>
        <w:t>试验步骤： 在最大峰值电流状态下触发紧急断电装置，重复3次。</w:t>
      </w:r>
    </w:p>
    <w:p w14:paraId="2CEBCAD5">
      <w:pPr>
        <w:pStyle w:val="27"/>
        <w:rPr>
          <w:color w:val="auto"/>
          <w:highlight w:val="none"/>
        </w:rPr>
      </w:pPr>
    </w:p>
    <w:p w14:paraId="69409010">
      <w:pPr>
        <w:pStyle w:val="27"/>
        <w:rPr>
          <w:color w:val="auto"/>
          <w:highlight w:val="none"/>
        </w:rPr>
      </w:pPr>
      <w:r>
        <w:rPr>
          <w:rFonts w:hint="default"/>
          <w:color w:val="auto"/>
          <w:highlight w:val="none"/>
        </w:rPr>
        <w:t>合格判定： 装置应能成功切断电流且不发生触点熔焊、喷弧或爆炸。试验后，允许装置损坏（作为一种牺牲式保护元件），但必须保证每次都能动作。</w:t>
      </w:r>
    </w:p>
    <w:p w14:paraId="5177F396">
      <w:pPr>
        <w:pStyle w:val="27"/>
        <w:rPr>
          <w:color w:val="auto"/>
          <w:highlight w:val="none"/>
        </w:rPr>
      </w:pPr>
    </w:p>
    <w:p w14:paraId="6DFC46DC">
      <w:pPr>
        <w:pStyle w:val="27"/>
        <w:rPr>
          <w:rFonts w:hint="default"/>
          <w:color w:val="auto"/>
          <w:highlight w:val="none"/>
        </w:rPr>
      </w:pPr>
      <w:r>
        <w:rPr>
          <w:color w:val="auto"/>
          <w:highlight w:val="none"/>
        </w:rPr>
        <w:pict>
          <v:rect id="_x0000_i1025" o:spt="1" style="height:1.5pt;width:432pt;" fillcolor="#404040" filled="t" stroked="f" coordsize="21600,21600" o:hr="t" o:hrstd="t" o:hrnoshade="t" o:hralign="center">
            <v:path/>
            <v:fill on="t" focussize="0,0"/>
            <v:stroke on="f"/>
            <v:imagedata o:title=""/>
            <o:lock v:ext="edit"/>
            <w10:wrap type="none"/>
            <w10:anchorlock/>
          </v:rect>
        </w:pict>
      </w:r>
    </w:p>
    <w:p w14:paraId="725EDF8C">
      <w:pPr>
        <w:pStyle w:val="87"/>
        <w:numPr>
          <w:ilvl w:val="-1"/>
          <w:numId w:val="0"/>
        </w:numPr>
        <w:outlineLvl w:val="9"/>
        <w:rPr>
          <w:rFonts w:hint="default"/>
        </w:rPr>
      </w:pPr>
      <w:bookmarkStart w:id="153" w:name="_Toc9501"/>
      <w:bookmarkStart w:id="154" w:name="_Toc19014"/>
      <w:bookmarkStart w:id="155" w:name="_Toc12494"/>
      <w:bookmarkStart w:id="156" w:name="_Toc22958"/>
      <w:bookmarkStart w:id="157" w:name="_Toc12517"/>
      <w:r>
        <w:rPr>
          <w:rFonts w:hint="eastAsia"/>
          <w:lang w:val="en-US" w:eastAsia="zh-CN"/>
        </w:rPr>
        <w:t>A.3</w:t>
      </w:r>
      <w:r>
        <w:rPr>
          <w:rFonts w:hint="default"/>
        </w:rPr>
        <w:t>试验报告</w:t>
      </w:r>
      <w:bookmarkEnd w:id="153"/>
      <w:bookmarkEnd w:id="154"/>
      <w:bookmarkEnd w:id="155"/>
      <w:bookmarkEnd w:id="156"/>
      <w:bookmarkEnd w:id="157"/>
    </w:p>
    <w:p w14:paraId="1377AA3F">
      <w:pPr>
        <w:pStyle w:val="27"/>
        <w:rPr>
          <w:rFonts w:hint="default"/>
          <w:color w:val="auto"/>
          <w:highlight w:val="none"/>
        </w:rPr>
      </w:pPr>
      <w:r>
        <w:rPr>
          <w:rFonts w:hint="default"/>
          <w:color w:val="auto"/>
          <w:highlight w:val="none"/>
        </w:rPr>
        <w:t>试验报告应至少包含以下信息：</w:t>
      </w:r>
      <w:r>
        <w:rPr>
          <w:rFonts w:hint="default"/>
          <w:color w:val="auto"/>
          <w:highlight w:val="none"/>
        </w:rPr>
        <w:br w:type="textWrapping"/>
      </w:r>
      <w:r>
        <w:rPr>
          <w:rStyle w:val="156"/>
          <w:rFonts w:hint="default"/>
        </w:rPr>
        <w:t>a) 被测装置的型号和编号；</w:t>
      </w:r>
      <w:r>
        <w:rPr>
          <w:rStyle w:val="156"/>
          <w:rFonts w:hint="default"/>
        </w:rPr>
        <w:br w:type="textWrapping"/>
      </w:r>
      <w:r>
        <w:rPr>
          <w:rStyle w:val="156"/>
          <w:rFonts w:hint="default"/>
        </w:rPr>
        <w:t>b) 试验依据（本标准编号）；</w:t>
      </w:r>
      <w:r>
        <w:rPr>
          <w:rStyle w:val="156"/>
          <w:rFonts w:hint="default"/>
        </w:rPr>
        <w:br w:type="textWrapping"/>
      </w:r>
      <w:r>
        <w:rPr>
          <w:rStyle w:val="156"/>
          <w:rFonts w:hint="default"/>
        </w:rPr>
        <w:t>c) 试验条件（温度、湿度、测试设备型号）；</w:t>
      </w:r>
      <w:r>
        <w:rPr>
          <w:rStyle w:val="156"/>
          <w:rFonts w:hint="default"/>
        </w:rPr>
        <w:br w:type="textWrapping"/>
      </w:r>
      <w:r>
        <w:rPr>
          <w:rStyle w:val="156"/>
          <w:rFonts w:hint="default"/>
        </w:rPr>
        <w:t>d) 各项试验的详细数据和结果（特别是响应时间、触发力、循环次数等）；</w:t>
      </w:r>
      <w:r>
        <w:rPr>
          <w:rStyle w:val="156"/>
          <w:rFonts w:hint="default"/>
        </w:rPr>
        <w:br w:type="textWrapping"/>
      </w:r>
      <w:r>
        <w:rPr>
          <w:rStyle w:val="156"/>
          <w:rFonts w:hint="default"/>
        </w:rPr>
        <w:t>e) 试验结论（合格/不合格）；</w:t>
      </w:r>
      <w:r>
        <w:rPr>
          <w:rStyle w:val="156"/>
          <w:rFonts w:hint="default"/>
        </w:rPr>
        <w:br w:type="textWrapping"/>
      </w:r>
      <w:r>
        <w:rPr>
          <w:rStyle w:val="156"/>
          <w:rFonts w:hint="default"/>
        </w:rPr>
        <w:t>f) 试验日期和人员签字。</w:t>
      </w:r>
    </w:p>
    <w:p w14:paraId="579E9618">
      <w:pPr>
        <w:pStyle w:val="27"/>
        <w:rPr>
          <w:color w:val="auto"/>
          <w:highlight w:val="none"/>
        </w:rPr>
      </w:pPr>
    </w:p>
    <w:bookmarkEnd w:id="61"/>
    <w:bookmarkEnd w:id="62"/>
    <w:p w14:paraId="2D464D64">
      <w:pPr>
        <w:pStyle w:val="101"/>
        <w:framePr w:wrap="around" w:hAnchor="page" w:x="4185" w:y="319"/>
        <w:rPr>
          <w:color w:val="auto"/>
          <w:highlight w:val="none"/>
        </w:rPr>
      </w:pPr>
      <w:r>
        <w:rPr>
          <w:color w:val="auto"/>
          <w:highlight w:val="none"/>
        </w:rPr>
        <w:t>_________________________________</w:t>
      </w:r>
    </w:p>
    <w:p w14:paraId="3D70B36E"/>
    <w:p w14:paraId="06EF88EF">
      <w:pPr>
        <w:sectPr>
          <w:headerReference r:id="rId13" w:type="default"/>
          <w:footerReference r:id="rId15" w:type="default"/>
          <w:headerReference r:id="rId14" w:type="even"/>
          <w:footerReference r:id="rId16" w:type="even"/>
          <w:pgSz w:w="11906" w:h="16838"/>
          <w:pgMar w:top="1418" w:right="1134" w:bottom="1134" w:left="1417" w:header="1418" w:footer="1134" w:gutter="0"/>
          <w:cols w:space="720" w:num="1"/>
          <w:formProt w:val="0"/>
          <w:docGrid w:type="lines" w:linePitch="312" w:charSpace="0"/>
        </w:sectPr>
      </w:pPr>
    </w:p>
    <w:p w14:paraId="08BC780E">
      <w:pPr>
        <w:pStyle w:val="132"/>
        <w:rPr>
          <w:rFonts w:hint="eastAsia"/>
          <w:lang w:eastAsia="zh-CN"/>
        </w:rPr>
      </w:pPr>
      <w:bookmarkStart w:id="158" w:name="_Toc20303"/>
      <w:r>
        <w:rPr>
          <w:rFonts w:hint="eastAsia"/>
          <w:lang w:val="en-US" w:eastAsia="zh-CN"/>
        </w:rPr>
        <w:t>附录B</w:t>
      </w:r>
      <w:r>
        <w:rPr>
          <w:rFonts w:hint="eastAsia"/>
        </w:rPr>
        <w:br w:type="textWrapping"/>
      </w:r>
      <w:r>
        <w:rPr>
          <w:rFonts w:hint="eastAsia"/>
          <w:lang w:eastAsia="zh-CN"/>
        </w:rPr>
        <w:t>（规范性）</w:t>
      </w:r>
      <w:r>
        <w:rPr>
          <w:rFonts w:hint="eastAsia"/>
          <w:lang w:eastAsia="zh-CN"/>
        </w:rPr>
        <w:br w:type="textWrapping"/>
      </w:r>
      <w:r>
        <w:rPr>
          <w:rFonts w:hint="eastAsia"/>
          <w:lang w:eastAsia="zh-CN"/>
        </w:rPr>
        <w:t>快换电池耗时试验方法</w:t>
      </w:r>
      <w:bookmarkEnd w:id="158"/>
    </w:p>
    <w:p w14:paraId="099AF56D">
      <w:pPr>
        <w:pStyle w:val="87"/>
        <w:numPr>
          <w:ilvl w:val="-1"/>
          <w:numId w:val="0"/>
        </w:numPr>
        <w:outlineLvl w:val="9"/>
        <w:rPr>
          <w:rFonts w:hint="eastAsia"/>
          <w:lang w:val="en-US" w:eastAsia="zh-CN"/>
        </w:rPr>
      </w:pPr>
      <w:r>
        <w:rPr>
          <w:rFonts w:hint="eastAsia"/>
          <w:lang w:val="en-US" w:eastAsia="zh-CN"/>
        </w:rPr>
        <w:t>B.1目的</w:t>
      </w:r>
    </w:p>
    <w:p w14:paraId="113FCC98">
      <w:pPr>
        <w:pStyle w:val="27"/>
        <w:rPr>
          <w:rFonts w:hint="eastAsia"/>
          <w:color w:val="auto"/>
          <w:highlight w:val="none"/>
        </w:rPr>
      </w:pPr>
      <w:r>
        <w:rPr>
          <w:rFonts w:hint="eastAsia"/>
          <w:color w:val="auto"/>
          <w:highlight w:val="none"/>
        </w:rPr>
        <w:t>验证车辆快换电池在规定工况下的更换效率与安全联锁功能是否满足“≤3 min”的技术要求。</w:t>
      </w:r>
    </w:p>
    <w:p w14:paraId="7C1B88A2">
      <w:pPr>
        <w:pStyle w:val="87"/>
        <w:numPr>
          <w:ilvl w:val="-1"/>
          <w:numId w:val="0"/>
        </w:numPr>
        <w:outlineLvl w:val="9"/>
        <w:rPr>
          <w:rFonts w:hint="eastAsia"/>
          <w:lang w:val="en-US" w:eastAsia="zh-CN"/>
        </w:rPr>
      </w:pPr>
      <w:r>
        <w:rPr>
          <w:rFonts w:hint="eastAsia"/>
          <w:lang w:val="en-US" w:eastAsia="zh-CN"/>
        </w:rPr>
        <w:t>B.2设备与工具</w:t>
      </w:r>
    </w:p>
    <w:p w14:paraId="5218BE67">
      <w:pPr>
        <w:pStyle w:val="27"/>
        <w:rPr>
          <w:rFonts w:hint="eastAsia"/>
          <w:color w:val="auto"/>
          <w:highlight w:val="none"/>
        </w:rPr>
      </w:pPr>
      <w:r>
        <w:rPr>
          <w:rFonts w:hint="eastAsia"/>
          <w:color w:val="auto"/>
          <w:highlight w:val="none"/>
          <w:lang w:val="en-US" w:eastAsia="zh-CN"/>
        </w:rPr>
        <w:t xml:space="preserve">a) </w:t>
      </w:r>
      <w:r>
        <w:rPr>
          <w:rFonts w:hint="eastAsia"/>
          <w:color w:val="auto"/>
          <w:highlight w:val="none"/>
        </w:rPr>
        <w:t>计时器（分辨率≤0.1 s）；</w:t>
      </w:r>
    </w:p>
    <w:p w14:paraId="1BB33149">
      <w:pPr>
        <w:pStyle w:val="27"/>
        <w:rPr>
          <w:rFonts w:hint="eastAsia"/>
          <w:color w:val="auto"/>
          <w:highlight w:val="none"/>
        </w:rPr>
      </w:pPr>
      <w:r>
        <w:rPr>
          <w:rFonts w:hint="eastAsia"/>
          <w:color w:val="auto"/>
          <w:highlight w:val="none"/>
          <w:lang w:val="en-US" w:eastAsia="zh-CN"/>
        </w:rPr>
        <w:t xml:space="preserve">b) </w:t>
      </w:r>
      <w:r>
        <w:rPr>
          <w:rFonts w:hint="eastAsia"/>
          <w:color w:val="auto"/>
          <w:highlight w:val="none"/>
        </w:rPr>
        <w:t>隔离支架或维修中撑，确保车辆稳定；</w:t>
      </w:r>
    </w:p>
    <w:p w14:paraId="0AC96E7B">
      <w:pPr>
        <w:pStyle w:val="27"/>
        <w:rPr>
          <w:rFonts w:hint="eastAsia"/>
          <w:color w:val="auto"/>
          <w:highlight w:val="none"/>
        </w:rPr>
      </w:pPr>
      <w:r>
        <w:rPr>
          <w:rFonts w:hint="eastAsia"/>
          <w:color w:val="auto"/>
          <w:highlight w:val="none"/>
          <w:lang w:val="en-US" w:eastAsia="zh-CN"/>
        </w:rPr>
        <w:t xml:space="preserve">c) </w:t>
      </w:r>
      <w:r>
        <w:rPr>
          <w:rFonts w:hint="eastAsia"/>
          <w:color w:val="auto"/>
          <w:highlight w:val="none"/>
        </w:rPr>
        <w:t>制造商规定的随车专用快换工具（如有）；</w:t>
      </w:r>
    </w:p>
    <w:p w14:paraId="23B0CB6F">
      <w:pPr>
        <w:pStyle w:val="27"/>
        <w:rPr>
          <w:rFonts w:hint="eastAsia"/>
          <w:color w:val="auto"/>
          <w:highlight w:val="none"/>
        </w:rPr>
      </w:pPr>
      <w:r>
        <w:rPr>
          <w:rFonts w:hint="eastAsia"/>
          <w:color w:val="auto"/>
          <w:highlight w:val="none"/>
          <w:lang w:val="en-US" w:eastAsia="zh-CN"/>
        </w:rPr>
        <w:t xml:space="preserve">d) </w:t>
      </w:r>
      <w:r>
        <w:rPr>
          <w:rFonts w:hint="eastAsia"/>
          <w:color w:val="auto"/>
          <w:highlight w:val="none"/>
        </w:rPr>
        <w:t>诊断/显示设备（用于读取车辆“可行驶/故障告警”状态）；</w:t>
      </w:r>
    </w:p>
    <w:p w14:paraId="00F3C9A5">
      <w:pPr>
        <w:pStyle w:val="27"/>
        <w:rPr>
          <w:rFonts w:hint="eastAsia"/>
          <w:color w:val="auto"/>
          <w:highlight w:val="none"/>
        </w:rPr>
      </w:pPr>
      <w:r>
        <w:rPr>
          <w:rFonts w:hint="eastAsia"/>
          <w:color w:val="auto"/>
          <w:highlight w:val="none"/>
          <w:lang w:val="en-US" w:eastAsia="zh-CN"/>
        </w:rPr>
        <w:t xml:space="preserve">e) </w:t>
      </w:r>
      <w:r>
        <w:rPr>
          <w:rFonts w:hint="eastAsia"/>
          <w:color w:val="auto"/>
          <w:highlight w:val="none"/>
        </w:rPr>
        <w:t>个人防护：绝缘手套、防护眼镜。</w:t>
      </w:r>
    </w:p>
    <w:p w14:paraId="3D77AD29">
      <w:pPr>
        <w:pStyle w:val="87"/>
        <w:numPr>
          <w:ilvl w:val="-1"/>
          <w:numId w:val="0"/>
        </w:numPr>
        <w:outlineLvl w:val="9"/>
        <w:rPr>
          <w:rFonts w:hint="eastAsia"/>
          <w:lang w:val="en-US" w:eastAsia="zh-CN"/>
        </w:rPr>
      </w:pPr>
      <w:r>
        <w:rPr>
          <w:rFonts w:hint="eastAsia"/>
          <w:lang w:val="en-US" w:eastAsia="zh-CN"/>
        </w:rPr>
        <w:t>B.3试验条件</w:t>
      </w:r>
    </w:p>
    <w:p w14:paraId="25B032B4">
      <w:pPr>
        <w:pStyle w:val="27"/>
        <w:rPr>
          <w:rFonts w:hint="eastAsia"/>
          <w:color w:val="auto"/>
          <w:highlight w:val="none"/>
        </w:rPr>
      </w:pPr>
      <w:r>
        <w:rPr>
          <w:rFonts w:hint="eastAsia"/>
          <w:color w:val="auto"/>
          <w:highlight w:val="none"/>
          <w:lang w:val="en-US" w:eastAsia="zh-CN"/>
        </w:rPr>
        <w:t xml:space="preserve">a) </w:t>
      </w:r>
      <w:r>
        <w:rPr>
          <w:rFonts w:hint="eastAsia"/>
          <w:color w:val="auto"/>
          <w:highlight w:val="none"/>
        </w:rPr>
        <w:t>环境温度 20 ± 5 ℃、相对湿度 ≤85%；</w:t>
      </w:r>
    </w:p>
    <w:p w14:paraId="41CA5139">
      <w:pPr>
        <w:pStyle w:val="27"/>
        <w:rPr>
          <w:rFonts w:hint="eastAsia"/>
          <w:color w:val="auto"/>
          <w:highlight w:val="none"/>
        </w:rPr>
      </w:pPr>
      <w:r>
        <w:rPr>
          <w:rFonts w:hint="eastAsia"/>
          <w:color w:val="auto"/>
          <w:highlight w:val="none"/>
          <w:lang w:val="en-US" w:eastAsia="zh-CN"/>
        </w:rPr>
        <w:t xml:space="preserve">b) </w:t>
      </w:r>
      <w:r>
        <w:rPr>
          <w:rFonts w:hint="eastAsia"/>
          <w:color w:val="auto"/>
          <w:highlight w:val="none"/>
        </w:rPr>
        <w:t>车辆静止、停稳，未连接外部充电设备；</w:t>
      </w:r>
    </w:p>
    <w:p w14:paraId="7B2604FE">
      <w:pPr>
        <w:pStyle w:val="27"/>
        <w:rPr>
          <w:rFonts w:hint="eastAsia"/>
          <w:color w:val="auto"/>
          <w:highlight w:val="none"/>
        </w:rPr>
      </w:pPr>
      <w:r>
        <w:rPr>
          <w:rFonts w:hint="eastAsia"/>
          <w:color w:val="auto"/>
          <w:highlight w:val="none"/>
          <w:lang w:val="en-US" w:eastAsia="zh-CN"/>
        </w:rPr>
        <w:t xml:space="preserve">c) </w:t>
      </w:r>
      <w:r>
        <w:rPr>
          <w:rFonts w:hint="eastAsia"/>
          <w:color w:val="auto"/>
          <w:highlight w:val="none"/>
        </w:rPr>
        <w:t>被更换电池 SoC 任意，但车辆处于常温、常压；</w:t>
      </w:r>
    </w:p>
    <w:p w14:paraId="1B8E82E7">
      <w:pPr>
        <w:pStyle w:val="27"/>
        <w:rPr>
          <w:rFonts w:hint="eastAsia"/>
          <w:color w:val="auto"/>
          <w:highlight w:val="none"/>
        </w:rPr>
      </w:pPr>
      <w:r>
        <w:rPr>
          <w:rFonts w:hint="eastAsia"/>
          <w:color w:val="auto"/>
          <w:highlight w:val="none"/>
          <w:lang w:val="en-US" w:eastAsia="zh-CN"/>
        </w:rPr>
        <w:t xml:space="preserve">d) </w:t>
      </w:r>
      <w:r>
        <w:rPr>
          <w:rFonts w:hint="eastAsia"/>
          <w:color w:val="auto"/>
          <w:highlight w:val="none"/>
        </w:rPr>
        <w:t>试验由 1 名操作者独立完成；</w:t>
      </w:r>
    </w:p>
    <w:p w14:paraId="1F8A2834">
      <w:pPr>
        <w:pStyle w:val="27"/>
        <w:rPr>
          <w:rFonts w:hint="eastAsia"/>
          <w:color w:val="auto"/>
          <w:highlight w:val="none"/>
        </w:rPr>
      </w:pPr>
      <w:r>
        <w:rPr>
          <w:rFonts w:hint="eastAsia"/>
          <w:color w:val="auto"/>
          <w:highlight w:val="none"/>
          <w:lang w:val="en-US" w:eastAsia="zh-CN"/>
        </w:rPr>
        <w:t xml:space="preserve">e) </w:t>
      </w:r>
      <w:r>
        <w:rPr>
          <w:rFonts w:hint="eastAsia"/>
          <w:color w:val="auto"/>
          <w:highlight w:val="none"/>
        </w:rPr>
        <w:t>允许使用制造商在用户手册中明确的随车工具/机构，不得预先松动紧固件或预开舱门。</w:t>
      </w:r>
    </w:p>
    <w:p w14:paraId="0A3A4F22">
      <w:pPr>
        <w:pStyle w:val="87"/>
        <w:numPr>
          <w:ilvl w:val="-1"/>
          <w:numId w:val="0"/>
        </w:numPr>
        <w:outlineLvl w:val="9"/>
        <w:rPr>
          <w:rFonts w:hint="eastAsia"/>
          <w:lang w:val="en-US" w:eastAsia="zh-CN"/>
        </w:rPr>
      </w:pPr>
      <w:r>
        <w:rPr>
          <w:rFonts w:hint="eastAsia"/>
          <w:lang w:val="en-US" w:eastAsia="zh-CN"/>
        </w:rPr>
        <w:t>B.4试验步骤</w:t>
      </w:r>
    </w:p>
    <w:p w14:paraId="2C978E5F">
      <w:pPr>
        <w:pStyle w:val="27"/>
        <w:numPr>
          <w:ilvl w:val="0"/>
          <w:numId w:val="24"/>
        </w:numPr>
        <w:rPr>
          <w:rFonts w:hint="eastAsia"/>
        </w:rPr>
      </w:pPr>
      <w:r>
        <w:rPr>
          <w:rFonts w:hint="eastAsia"/>
        </w:rPr>
        <w:t>将车辆置于稳定支撑，确认驱动系统已下电，HV 系统无故障报警；</w:t>
      </w:r>
    </w:p>
    <w:p w14:paraId="2C3F92CF">
      <w:pPr>
        <w:pStyle w:val="27"/>
        <w:numPr>
          <w:ilvl w:val="0"/>
          <w:numId w:val="24"/>
        </w:numPr>
        <w:ind w:left="0" w:leftChars="0" w:firstLine="420" w:firstLineChars="200"/>
        <w:rPr>
          <w:rFonts w:hint="eastAsia"/>
        </w:rPr>
      </w:pPr>
      <w:r>
        <w:rPr>
          <w:rFonts w:hint="eastAsia"/>
        </w:rPr>
        <w:t>计时起点（T0）：操作者开始执行快换的第一个动作（例如解锁、拨解除电开关或开启电池舱门）；</w:t>
      </w:r>
    </w:p>
    <w:p w14:paraId="07C746AE">
      <w:pPr>
        <w:pStyle w:val="27"/>
        <w:numPr>
          <w:ilvl w:val="0"/>
          <w:numId w:val="24"/>
        </w:numPr>
        <w:ind w:left="0" w:leftChars="0" w:firstLine="420" w:firstLineChars="200"/>
        <w:rPr>
          <w:rFonts w:hint="eastAsia"/>
        </w:rPr>
      </w:pPr>
      <w:r>
        <w:rPr>
          <w:rFonts w:hint="eastAsia"/>
        </w:rPr>
        <w:t>按制造商规定流程完成：解锁/断电→电池拆卸→新电池装入与机械固定→高压、低压接口就位→舱门复位与锁止；</w:t>
      </w:r>
    </w:p>
    <w:p w14:paraId="5FFBD02E">
      <w:pPr>
        <w:pStyle w:val="27"/>
        <w:numPr>
          <w:ilvl w:val="0"/>
          <w:numId w:val="24"/>
        </w:numPr>
        <w:ind w:left="0" w:leftChars="0" w:firstLine="420" w:firstLineChars="200"/>
        <w:rPr>
          <w:rFonts w:hint="eastAsia"/>
        </w:rPr>
      </w:pPr>
      <w:r>
        <w:rPr>
          <w:rFonts w:hint="eastAsia"/>
        </w:rPr>
        <w:t>计时终点（T1）：仪表或诊断设备显示车辆**“可行驶/Ready”**状态，且机械固定完成、舱门完全闭合、无告警信息；</w:t>
      </w:r>
    </w:p>
    <w:p w14:paraId="02CD6124">
      <w:pPr>
        <w:pStyle w:val="27"/>
        <w:numPr>
          <w:ilvl w:val="0"/>
          <w:numId w:val="24"/>
        </w:numPr>
        <w:ind w:left="0" w:leftChars="0" w:firstLine="420" w:firstLineChars="200"/>
        <w:rPr>
          <w:rFonts w:hint="eastAsia"/>
        </w:rPr>
      </w:pPr>
      <w:r>
        <w:rPr>
          <w:rFonts w:hint="eastAsia"/>
        </w:rPr>
        <w:t>记录 T = T1 − T0；重复 3 次（可更换不同电池包或同一电池反复拆装），取每次计时结果。</w:t>
      </w:r>
    </w:p>
    <w:p w14:paraId="7326124E">
      <w:pPr>
        <w:pStyle w:val="87"/>
        <w:numPr>
          <w:ilvl w:val="-1"/>
          <w:numId w:val="0"/>
        </w:numPr>
        <w:outlineLvl w:val="9"/>
        <w:rPr>
          <w:rFonts w:hint="eastAsia"/>
          <w:lang w:val="en-US" w:eastAsia="zh-CN"/>
        </w:rPr>
      </w:pPr>
      <w:r>
        <w:rPr>
          <w:rFonts w:hint="eastAsia"/>
          <w:lang w:val="en-US" w:eastAsia="zh-CN"/>
        </w:rPr>
        <w:t>B.5合格判定</w:t>
      </w:r>
    </w:p>
    <w:p w14:paraId="02C5978C">
      <w:pPr>
        <w:pStyle w:val="27"/>
        <w:rPr>
          <w:rFonts w:hint="eastAsia"/>
          <w:color w:val="auto"/>
          <w:highlight w:val="none"/>
          <w:lang w:val="en-US" w:eastAsia="zh-CN"/>
        </w:rPr>
      </w:pPr>
      <w:r>
        <w:rPr>
          <w:rFonts w:hint="eastAsia"/>
          <w:color w:val="auto"/>
          <w:highlight w:val="none"/>
          <w:lang w:val="en-US" w:eastAsia="zh-CN"/>
        </w:rPr>
        <w:t>a) 时间要求：三次试验的每一次应满足 T ≤ 3 min（180 s）；</w:t>
      </w:r>
    </w:p>
    <w:p w14:paraId="409EDE57">
      <w:pPr>
        <w:pStyle w:val="27"/>
        <w:rPr>
          <w:rFonts w:hint="eastAsia"/>
          <w:color w:val="auto"/>
          <w:highlight w:val="none"/>
          <w:lang w:val="en-US" w:eastAsia="zh-CN"/>
        </w:rPr>
      </w:pPr>
      <w:r>
        <w:rPr>
          <w:rFonts w:hint="eastAsia"/>
          <w:color w:val="auto"/>
          <w:highlight w:val="none"/>
          <w:lang w:val="en-US" w:eastAsia="zh-CN"/>
        </w:rPr>
        <w:t>b) 安全要求：更换过程中驱动系统不能上电；更换后车辆无故障码与安全告警；机械锁止完好，无松动；</w:t>
      </w:r>
    </w:p>
    <w:p w14:paraId="38AB5C1B">
      <w:pPr>
        <w:pStyle w:val="27"/>
        <w:rPr>
          <w:rFonts w:hint="eastAsia"/>
          <w:color w:val="auto"/>
          <w:highlight w:val="none"/>
          <w:lang w:val="en-US" w:eastAsia="zh-CN"/>
        </w:rPr>
      </w:pPr>
      <w:r>
        <w:rPr>
          <w:rFonts w:hint="eastAsia"/>
          <w:color w:val="auto"/>
          <w:highlight w:val="none"/>
          <w:lang w:val="en-US" w:eastAsia="zh-CN"/>
        </w:rPr>
        <w:t>c) 外观与密封：外壳、接口与舱门完好，无卡滞、无渗漏迹象。</w:t>
      </w:r>
    </w:p>
    <w:p w14:paraId="29B6BAA5">
      <w:pPr>
        <w:pStyle w:val="27"/>
        <w:rPr>
          <w:rFonts w:hint="eastAsia"/>
        </w:rPr>
      </w:pPr>
      <w:r>
        <w:rPr>
          <w:color w:val="auto"/>
          <w:highlight w:val="none"/>
        </w:rPr>
        <w:pict>
          <v:rect id="_x0000_i1026" o:spt="1" style="height:1.5pt;width:432pt;" fillcolor="#404040" filled="t" stroked="f" coordsize="21600,21600" o:hr="t" o:hrstd="t" o:hrnoshade="t" o:hralign="center">
            <v:path/>
            <v:fill on="t" focussize="0,0"/>
            <v:stroke on="f"/>
            <v:imagedata o:title=""/>
            <o:lock v:ext="edit"/>
            <w10:wrap type="none"/>
            <w10:anchorlock/>
          </v:rect>
        </w:pict>
      </w:r>
    </w:p>
    <w:p w14:paraId="78F37211">
      <w:pPr>
        <w:pStyle w:val="87"/>
        <w:numPr>
          <w:ilvl w:val="-1"/>
          <w:numId w:val="0"/>
        </w:numPr>
        <w:outlineLvl w:val="9"/>
        <w:rPr>
          <w:rFonts w:hint="eastAsia"/>
          <w:lang w:val="en-US" w:eastAsia="zh-CN"/>
        </w:rPr>
      </w:pPr>
      <w:r>
        <w:rPr>
          <w:rFonts w:hint="eastAsia"/>
          <w:lang w:val="en-US" w:eastAsia="zh-CN"/>
        </w:rPr>
        <w:t>B.6试验记录</w:t>
      </w:r>
    </w:p>
    <w:p w14:paraId="6FCED42C">
      <w:pPr>
        <w:pStyle w:val="27"/>
        <w:rPr>
          <w:rFonts w:hint="eastAsia"/>
          <w:color w:val="auto"/>
          <w:highlight w:val="none"/>
          <w:lang w:val="en-US" w:eastAsia="zh-CN"/>
        </w:rPr>
      </w:pPr>
      <w:r>
        <w:rPr>
          <w:rFonts w:hint="eastAsia"/>
          <w:color w:val="auto"/>
          <w:highlight w:val="none"/>
          <w:lang w:val="en-US" w:eastAsia="zh-CN"/>
        </w:rPr>
        <w:t>记录车辆与电池型号、环境条件、操作者、每次 T 值、告警/故障状态、HVIL 检查结果、外观复核结论等。</w:t>
      </w:r>
    </w:p>
    <w:p w14:paraId="792DC6BD">
      <w:pPr>
        <w:pStyle w:val="101"/>
        <w:framePr w:wrap="around" w:hAnchor="page" w:x="4185" w:y="319"/>
        <w:rPr>
          <w:color w:val="auto"/>
          <w:highlight w:val="none"/>
        </w:rPr>
      </w:pPr>
      <w:r>
        <w:rPr>
          <w:color w:val="auto"/>
          <w:highlight w:val="none"/>
        </w:rPr>
        <w:t>_________________________________</w:t>
      </w:r>
    </w:p>
    <w:p w14:paraId="1F4C656B">
      <w:pPr>
        <w:sectPr>
          <w:pgSz w:w="11906" w:h="16838"/>
          <w:pgMar w:top="1418" w:right="1134" w:bottom="1134" w:left="1417" w:header="1418" w:footer="1134" w:gutter="0"/>
          <w:cols w:space="720" w:num="1"/>
          <w:formProt w:val="0"/>
          <w:docGrid w:type="lines" w:linePitch="312" w:charSpace="0"/>
        </w:sectPr>
      </w:pPr>
    </w:p>
    <w:p w14:paraId="14A44BE0">
      <w:pPr>
        <w:pStyle w:val="132"/>
        <w:rPr>
          <w:rFonts w:hint="eastAsia"/>
          <w:lang w:eastAsia="zh-CN"/>
        </w:rPr>
      </w:pPr>
      <w:bookmarkStart w:id="159" w:name="_Toc30143"/>
      <w:r>
        <w:rPr>
          <w:rFonts w:hint="eastAsia"/>
          <w:lang w:val="en-US" w:eastAsia="zh-CN"/>
        </w:rPr>
        <w:t>附录C</w:t>
      </w:r>
      <w:r>
        <w:rPr>
          <w:rFonts w:hint="eastAsia"/>
        </w:rPr>
        <w:br w:type="textWrapping"/>
      </w:r>
      <w:r>
        <w:rPr>
          <w:rFonts w:hint="eastAsia"/>
          <w:lang w:eastAsia="zh-CN"/>
        </w:rPr>
        <w:t>（规范性）</w:t>
      </w:r>
      <w:r>
        <w:rPr>
          <w:rFonts w:hint="eastAsia"/>
          <w:lang w:eastAsia="zh-CN"/>
        </w:rPr>
        <w:br w:type="textWrapping"/>
      </w:r>
      <w:r>
        <w:rPr>
          <w:rFonts w:hint="eastAsia"/>
          <w:lang w:eastAsia="zh-CN"/>
        </w:rPr>
        <w:t>悬架有效行程测定方法</w:t>
      </w:r>
      <w:bookmarkEnd w:id="159"/>
    </w:p>
    <w:p w14:paraId="666CDEFF">
      <w:pPr>
        <w:pStyle w:val="87"/>
        <w:numPr>
          <w:ilvl w:val="-1"/>
          <w:numId w:val="0"/>
        </w:numPr>
        <w:outlineLvl w:val="9"/>
        <w:rPr>
          <w:rFonts w:hint="eastAsia"/>
          <w:lang w:val="en-US" w:eastAsia="zh-CN"/>
        </w:rPr>
      </w:pPr>
      <w:r>
        <w:rPr>
          <w:rFonts w:hint="eastAsia"/>
          <w:lang w:val="en-US" w:eastAsia="zh-CN"/>
        </w:rPr>
        <w:t>C.1定义</w:t>
      </w:r>
    </w:p>
    <w:p w14:paraId="14EF2909">
      <w:pPr>
        <w:pStyle w:val="27"/>
        <w:rPr>
          <w:rFonts w:hint="eastAsia"/>
          <w:color w:val="auto"/>
          <w:highlight w:val="none"/>
          <w:lang w:val="en-US" w:eastAsia="zh-CN"/>
        </w:rPr>
      </w:pPr>
      <w:r>
        <w:rPr>
          <w:rFonts w:hint="eastAsia"/>
          <w:color w:val="auto"/>
          <w:highlight w:val="none"/>
          <w:lang w:val="en-US" w:eastAsia="zh-CN"/>
        </w:rPr>
        <w:t>悬架有效行程系指车轮相对车架在悬架由完全伸出（Droop）至完全压缩至机械限位或缓冲块压紧之间的可用垂直位移。前悬架为前轮相对车架的位移，后悬架为后轮相对车架的位移。指标要求：前/后 ≥120/120 mm。</w:t>
      </w:r>
    </w:p>
    <w:p w14:paraId="7679C16A">
      <w:pPr>
        <w:pStyle w:val="87"/>
        <w:numPr>
          <w:ilvl w:val="-1"/>
          <w:numId w:val="0"/>
        </w:numPr>
        <w:outlineLvl w:val="9"/>
        <w:rPr>
          <w:rFonts w:hint="eastAsia"/>
          <w:lang w:val="en-US" w:eastAsia="zh-CN"/>
        </w:rPr>
      </w:pPr>
      <w:r>
        <w:rPr>
          <w:rFonts w:hint="eastAsia"/>
          <w:lang w:val="en-US" w:eastAsia="zh-CN"/>
        </w:rPr>
        <w:t>C.2设备</w:t>
      </w:r>
    </w:p>
    <w:p w14:paraId="0B10BF20">
      <w:pPr>
        <w:pStyle w:val="27"/>
        <w:numPr>
          <w:ilvl w:val="0"/>
          <w:numId w:val="25"/>
        </w:numPr>
        <w:rPr>
          <w:rFonts w:hint="eastAsia"/>
          <w:color w:val="auto"/>
          <w:highlight w:val="none"/>
          <w:lang w:val="en-US" w:eastAsia="zh-CN"/>
        </w:rPr>
      </w:pPr>
      <w:r>
        <w:rPr>
          <w:rFonts w:hint="eastAsia"/>
          <w:color w:val="auto"/>
          <w:highlight w:val="none"/>
          <w:lang w:val="en-US" w:eastAsia="zh-CN"/>
        </w:rPr>
        <w:t>升降平台或中撑，能使车轮离地达到完全伸出；</w:t>
      </w:r>
    </w:p>
    <w:p w14:paraId="3D87E718">
      <w:pPr>
        <w:pStyle w:val="27"/>
        <w:numPr>
          <w:ilvl w:val="0"/>
          <w:numId w:val="25"/>
        </w:numPr>
        <w:ind w:left="0" w:leftChars="0" w:firstLine="420" w:firstLineChars="200"/>
        <w:rPr>
          <w:rFonts w:hint="eastAsia"/>
          <w:color w:val="auto"/>
          <w:highlight w:val="none"/>
          <w:lang w:val="en-US" w:eastAsia="zh-CN"/>
        </w:rPr>
      </w:pPr>
      <w:r>
        <w:rPr>
          <w:rFonts w:hint="eastAsia"/>
          <w:color w:val="auto"/>
          <w:highlight w:val="none"/>
          <w:lang w:val="en-US" w:eastAsia="zh-CN"/>
        </w:rPr>
        <w:t>直尺/卷尺（分度≤1 mm）或位移传感器（精度≤±1 mm）；</w:t>
      </w:r>
    </w:p>
    <w:p w14:paraId="69D9E8B3">
      <w:pPr>
        <w:pStyle w:val="27"/>
        <w:numPr>
          <w:ilvl w:val="0"/>
          <w:numId w:val="25"/>
        </w:numPr>
        <w:ind w:left="0" w:leftChars="0" w:firstLine="420" w:firstLineChars="200"/>
        <w:rPr>
          <w:rFonts w:hint="eastAsia"/>
          <w:color w:val="auto"/>
          <w:highlight w:val="none"/>
          <w:lang w:val="en-US" w:eastAsia="zh-CN"/>
        </w:rPr>
      </w:pPr>
      <w:r>
        <w:rPr>
          <w:rFonts w:hint="eastAsia"/>
          <w:color w:val="auto"/>
          <w:highlight w:val="none"/>
          <w:lang w:val="en-US" w:eastAsia="zh-CN"/>
        </w:rPr>
        <w:t>辅助定位装置：前叉用扎带（记程环）或磁性刻度尺；后轮用轴心—车架基准的位移基尺/导尺；</w:t>
      </w:r>
    </w:p>
    <w:p w14:paraId="5FDAFBC0">
      <w:pPr>
        <w:pStyle w:val="27"/>
        <w:numPr>
          <w:ilvl w:val="0"/>
          <w:numId w:val="25"/>
        </w:numPr>
        <w:ind w:left="0" w:leftChars="0" w:firstLine="420" w:firstLineChars="200"/>
        <w:rPr>
          <w:rFonts w:hint="eastAsia"/>
          <w:color w:val="auto"/>
          <w:highlight w:val="none"/>
          <w:lang w:val="en-US" w:eastAsia="zh-CN"/>
        </w:rPr>
      </w:pPr>
      <w:r>
        <w:rPr>
          <w:rFonts w:hint="eastAsia"/>
          <w:color w:val="auto"/>
          <w:highlight w:val="none"/>
          <w:lang w:val="en-US" w:eastAsia="zh-CN"/>
        </w:rPr>
        <w:t>压缩工装：顶压装置或人工缓慢均匀施压工具（避免冲击）。</w:t>
      </w:r>
    </w:p>
    <w:p w14:paraId="1D1AC64A">
      <w:pPr>
        <w:pStyle w:val="87"/>
        <w:numPr>
          <w:ilvl w:val="-1"/>
          <w:numId w:val="0"/>
        </w:numPr>
        <w:outlineLvl w:val="9"/>
        <w:rPr>
          <w:rFonts w:hint="eastAsia"/>
          <w:lang w:val="en-US" w:eastAsia="zh-CN"/>
        </w:rPr>
      </w:pPr>
      <w:r>
        <w:rPr>
          <w:rFonts w:hint="eastAsia"/>
          <w:lang w:val="en-US" w:eastAsia="zh-CN"/>
        </w:rPr>
        <w:t>C.3试验条件</w:t>
      </w:r>
    </w:p>
    <w:p w14:paraId="1E323C10">
      <w:pPr>
        <w:pStyle w:val="27"/>
        <w:numPr>
          <w:ilvl w:val="0"/>
          <w:numId w:val="26"/>
        </w:numPr>
        <w:rPr>
          <w:rFonts w:hint="eastAsia"/>
          <w:lang w:eastAsia="zh-CN"/>
        </w:rPr>
      </w:pPr>
      <w:r>
        <w:rPr>
          <w:rFonts w:hint="eastAsia"/>
          <w:lang w:eastAsia="zh-CN"/>
        </w:rPr>
        <w:t>车辆无载（不加骑手与行李），轮胎气压按制造商推荐值；</w:t>
      </w:r>
    </w:p>
    <w:p w14:paraId="53B5835B">
      <w:pPr>
        <w:pStyle w:val="27"/>
        <w:numPr>
          <w:ilvl w:val="0"/>
          <w:numId w:val="26"/>
        </w:numPr>
        <w:ind w:left="0" w:leftChars="0" w:firstLine="420" w:firstLineChars="200"/>
        <w:rPr>
          <w:rFonts w:hint="eastAsia"/>
          <w:lang w:eastAsia="zh-CN"/>
        </w:rPr>
      </w:pPr>
      <w:r>
        <w:rPr>
          <w:rFonts w:hint="eastAsia"/>
          <w:lang w:eastAsia="zh-CN"/>
        </w:rPr>
        <w:t>车辆处于静态状态进行测定；</w:t>
      </w:r>
    </w:p>
    <w:p w14:paraId="524844B3">
      <w:pPr>
        <w:pStyle w:val="27"/>
        <w:numPr>
          <w:ilvl w:val="0"/>
          <w:numId w:val="26"/>
        </w:numPr>
        <w:ind w:left="0" w:leftChars="0" w:firstLine="420" w:firstLineChars="200"/>
        <w:rPr>
          <w:rFonts w:hint="eastAsia"/>
          <w:lang w:eastAsia="zh-CN"/>
        </w:rPr>
      </w:pPr>
      <w:r>
        <w:rPr>
          <w:rFonts w:hint="eastAsia"/>
          <w:lang w:eastAsia="zh-CN"/>
        </w:rPr>
        <w:t>允许按制造商要求调整预载至标准位置；不得拆除防尘套/密封件。</w:t>
      </w:r>
    </w:p>
    <w:p w14:paraId="23C99EC7">
      <w:pPr>
        <w:pStyle w:val="87"/>
        <w:numPr>
          <w:ilvl w:val="-1"/>
          <w:numId w:val="0"/>
        </w:numPr>
        <w:outlineLvl w:val="9"/>
        <w:rPr>
          <w:rFonts w:hint="eastAsia"/>
          <w:lang w:val="en-US" w:eastAsia="zh-CN"/>
        </w:rPr>
      </w:pPr>
      <w:r>
        <w:rPr>
          <w:rFonts w:hint="eastAsia"/>
          <w:lang w:val="en-US" w:eastAsia="zh-CN"/>
        </w:rPr>
        <w:t>C.4测定方法</w:t>
      </w:r>
    </w:p>
    <w:p w14:paraId="4B7BD647">
      <w:pPr>
        <w:pStyle w:val="136"/>
        <w:rPr>
          <w:rFonts w:hint="eastAsia"/>
          <w:lang w:eastAsia="zh-CN"/>
        </w:rPr>
      </w:pPr>
      <w:r>
        <w:rPr>
          <w:rFonts w:hint="eastAsia"/>
          <w:lang w:val="en-US" w:eastAsia="zh-CN"/>
        </w:rPr>
        <w:t xml:space="preserve">C.4.1 </w:t>
      </w:r>
      <w:r>
        <w:rPr>
          <w:rFonts w:hint="eastAsia"/>
          <w:lang w:eastAsia="zh-CN"/>
        </w:rPr>
        <w:t>前悬架（伸缩式前叉）</w:t>
      </w:r>
    </w:p>
    <w:p w14:paraId="0A4B3ED8">
      <w:pPr>
        <w:pStyle w:val="27"/>
        <w:rPr>
          <w:rFonts w:hint="eastAsia"/>
          <w:lang w:eastAsia="zh-CN"/>
        </w:rPr>
      </w:pPr>
      <w:r>
        <w:rPr>
          <w:rFonts w:hint="eastAsia"/>
          <w:lang w:eastAsia="zh-CN"/>
        </w:rPr>
        <w:t>完全伸出定位：将车辆举升至前轮离地，确保前叉处于完全伸出位置；将记程环（扎带）紧贴防尘封口位置；</w:t>
      </w:r>
    </w:p>
    <w:p w14:paraId="5EE63660">
      <w:pPr>
        <w:pStyle w:val="27"/>
        <w:rPr>
          <w:rFonts w:hint="eastAsia"/>
          <w:lang w:eastAsia="zh-CN"/>
        </w:rPr>
      </w:pPr>
      <w:r>
        <w:rPr>
          <w:rFonts w:hint="eastAsia"/>
          <w:lang w:eastAsia="zh-CN"/>
        </w:rPr>
        <w:t>完全压缩：缓慢、均匀向下压缩前端，使前叉触及机械限位或缓冲块被明显压缩（避免动态冲击到底，以免误差与损伤）；</w:t>
      </w:r>
    </w:p>
    <w:p w14:paraId="735B2721">
      <w:pPr>
        <w:pStyle w:val="27"/>
        <w:rPr>
          <w:rFonts w:hint="eastAsia"/>
          <w:lang w:eastAsia="zh-CN"/>
        </w:rPr>
      </w:pPr>
      <w:r>
        <w:rPr>
          <w:rFonts w:hint="eastAsia"/>
          <w:lang w:eastAsia="zh-CN"/>
        </w:rPr>
        <w:t>读取行程：释放载荷，测量记程环移动距离 Sf，读数精度≤1 mm；</w:t>
      </w:r>
    </w:p>
    <w:p w14:paraId="780CB1AF">
      <w:pPr>
        <w:pStyle w:val="27"/>
        <w:rPr>
          <w:rFonts w:hint="eastAsia"/>
          <w:lang w:eastAsia="zh-CN"/>
        </w:rPr>
      </w:pPr>
      <w:r>
        <w:rPr>
          <w:rFonts w:hint="eastAsia"/>
          <w:lang w:eastAsia="zh-CN"/>
        </w:rPr>
        <w:t>重复性：重复 3 次，取最小值作为判定值。</w:t>
      </w:r>
    </w:p>
    <w:p w14:paraId="627B60A8">
      <w:pPr>
        <w:pStyle w:val="27"/>
        <w:rPr>
          <w:rFonts w:hint="eastAsia"/>
          <w:lang w:eastAsia="zh-CN"/>
        </w:rPr>
      </w:pPr>
    </w:p>
    <w:p w14:paraId="23C4A018">
      <w:pPr>
        <w:pStyle w:val="136"/>
        <w:rPr>
          <w:rFonts w:hint="eastAsia"/>
          <w:lang w:eastAsia="zh-CN"/>
        </w:rPr>
      </w:pPr>
      <w:r>
        <w:rPr>
          <w:rFonts w:hint="eastAsia"/>
          <w:lang w:val="en-US" w:eastAsia="zh-CN"/>
        </w:rPr>
        <w:t xml:space="preserve">C.4.2 </w:t>
      </w:r>
      <w:r>
        <w:rPr>
          <w:rFonts w:hint="eastAsia"/>
          <w:lang w:eastAsia="zh-CN"/>
        </w:rPr>
        <w:t>后悬架（带连杆或中置减振器）</w:t>
      </w:r>
    </w:p>
    <w:p w14:paraId="3707EB94">
      <w:pPr>
        <w:pStyle w:val="27"/>
        <w:numPr>
          <w:ilvl w:val="0"/>
          <w:numId w:val="27"/>
        </w:numPr>
        <w:rPr>
          <w:rFonts w:hint="eastAsia"/>
          <w:lang w:eastAsia="zh-CN"/>
        </w:rPr>
      </w:pPr>
      <w:r>
        <w:rPr>
          <w:rFonts w:hint="eastAsia"/>
          <w:lang w:eastAsia="zh-CN"/>
        </w:rPr>
        <w:t>方法 A（车轮法，推荐）</w:t>
      </w:r>
    </w:p>
    <w:p w14:paraId="4754A1E7">
      <w:pPr>
        <w:pStyle w:val="27"/>
        <w:rPr>
          <w:rFonts w:hint="eastAsia"/>
          <w:lang w:eastAsia="zh-CN"/>
        </w:rPr>
      </w:pPr>
      <w:r>
        <w:rPr>
          <w:rFonts w:hint="eastAsia"/>
          <w:lang w:eastAsia="zh-CN"/>
        </w:rPr>
        <w:t>完全伸出定位：举升车辆使后轮离地，确认后悬架处于完全伸出；</w:t>
      </w:r>
    </w:p>
    <w:p w14:paraId="304A020A">
      <w:pPr>
        <w:pStyle w:val="27"/>
        <w:rPr>
          <w:rFonts w:hint="eastAsia"/>
          <w:lang w:eastAsia="zh-CN"/>
        </w:rPr>
      </w:pPr>
    </w:p>
    <w:p w14:paraId="4CE80BC9">
      <w:pPr>
        <w:pStyle w:val="27"/>
        <w:rPr>
          <w:rFonts w:hint="eastAsia"/>
          <w:lang w:eastAsia="zh-CN"/>
        </w:rPr>
      </w:pPr>
      <w:r>
        <w:rPr>
          <w:rFonts w:hint="eastAsia"/>
          <w:lang w:eastAsia="zh-CN"/>
        </w:rPr>
        <w:t>建立基准：在后轮轴心与车架固定基准点之间安装垂直导尺/位移传感器并清零；</w:t>
      </w:r>
    </w:p>
    <w:p w14:paraId="5C28FBCB">
      <w:pPr>
        <w:pStyle w:val="27"/>
        <w:rPr>
          <w:rFonts w:hint="eastAsia"/>
          <w:lang w:eastAsia="zh-CN"/>
        </w:rPr>
      </w:pPr>
      <w:r>
        <w:rPr>
          <w:rFonts w:hint="eastAsia"/>
          <w:lang w:eastAsia="zh-CN"/>
        </w:rPr>
        <w:t>完全压缩：自车架上方缓慢、均匀施压，使后悬架至机械限位或缓冲块被明显压缩；</w:t>
      </w:r>
    </w:p>
    <w:p w14:paraId="2212F031">
      <w:pPr>
        <w:pStyle w:val="27"/>
        <w:rPr>
          <w:rFonts w:hint="eastAsia"/>
          <w:lang w:eastAsia="zh-CN"/>
        </w:rPr>
      </w:pPr>
      <w:r>
        <w:rPr>
          <w:rFonts w:hint="eastAsia"/>
          <w:lang w:eastAsia="zh-CN"/>
        </w:rPr>
        <w:t>读取行程：记录后轮轴心相对车架的垂直位移 Sr；重复 3 次，取最小值。</w:t>
      </w:r>
    </w:p>
    <w:p w14:paraId="499C047C">
      <w:pPr>
        <w:pStyle w:val="27"/>
        <w:rPr>
          <w:rFonts w:hint="eastAsia"/>
          <w:lang w:eastAsia="zh-CN"/>
        </w:rPr>
      </w:pPr>
    </w:p>
    <w:p w14:paraId="64824E27">
      <w:pPr>
        <w:pStyle w:val="27"/>
        <w:numPr>
          <w:ilvl w:val="0"/>
          <w:numId w:val="27"/>
        </w:numPr>
        <w:ind w:left="0" w:leftChars="0" w:firstLine="420" w:firstLineChars="200"/>
        <w:rPr>
          <w:rFonts w:hint="eastAsia"/>
          <w:lang w:eastAsia="zh-CN"/>
        </w:rPr>
      </w:pPr>
      <w:r>
        <w:rPr>
          <w:rFonts w:hint="eastAsia"/>
          <w:lang w:eastAsia="zh-CN"/>
        </w:rPr>
        <w:t>方法 B（减振器行程法，适用于难以布置导尺场合）</w:t>
      </w:r>
    </w:p>
    <w:p w14:paraId="42512A79">
      <w:pPr>
        <w:pStyle w:val="27"/>
        <w:rPr>
          <w:rFonts w:hint="eastAsia"/>
          <w:lang w:eastAsia="zh-CN"/>
        </w:rPr>
      </w:pPr>
      <w:r>
        <w:rPr>
          <w:rFonts w:hint="eastAsia"/>
          <w:lang w:eastAsia="zh-CN"/>
        </w:rPr>
        <w:t>在不拆卸密封件前提下，于减振器外筒设置位移标尺或位移传感器；</w:t>
      </w:r>
    </w:p>
    <w:p w14:paraId="44DE49D4">
      <w:pPr>
        <w:pStyle w:val="27"/>
        <w:rPr>
          <w:rFonts w:hint="eastAsia"/>
          <w:lang w:eastAsia="zh-CN"/>
        </w:rPr>
      </w:pPr>
      <w:r>
        <w:rPr>
          <w:rFonts w:hint="eastAsia"/>
          <w:lang w:eastAsia="zh-CN"/>
        </w:rPr>
        <w:t>测得减振器轴向行程 Sshock，并按制造商提供的轮端传动比 k换算：Sr = k × Sshock；</w:t>
      </w:r>
    </w:p>
    <w:p w14:paraId="4B1309B1">
      <w:pPr>
        <w:pStyle w:val="27"/>
        <w:rPr>
          <w:rFonts w:hint="eastAsia"/>
          <w:lang w:eastAsia="zh-CN"/>
        </w:rPr>
      </w:pPr>
      <w:r>
        <w:rPr>
          <w:rFonts w:hint="eastAsia"/>
          <w:lang w:eastAsia="zh-CN"/>
        </w:rPr>
        <w:t>若制造商未给出 k 值，则不采用此方法。</w:t>
      </w:r>
    </w:p>
    <w:p w14:paraId="5F5CC88A">
      <w:pPr>
        <w:pStyle w:val="87"/>
        <w:numPr>
          <w:ilvl w:val="-1"/>
          <w:numId w:val="0"/>
        </w:numPr>
        <w:outlineLvl w:val="9"/>
        <w:rPr>
          <w:rFonts w:hint="eastAsia"/>
          <w:lang w:val="en-US" w:eastAsia="zh-CN"/>
        </w:rPr>
      </w:pPr>
      <w:r>
        <w:rPr>
          <w:rFonts w:hint="eastAsia"/>
          <w:lang w:val="en-US" w:eastAsia="zh-CN"/>
        </w:rPr>
        <w:t>C.5 合格判定</w:t>
      </w:r>
    </w:p>
    <w:p w14:paraId="7E5A58C6">
      <w:pPr>
        <w:pStyle w:val="27"/>
        <w:numPr>
          <w:ilvl w:val="0"/>
          <w:numId w:val="28"/>
        </w:numPr>
        <w:rPr>
          <w:rFonts w:hint="eastAsia"/>
          <w:lang w:eastAsia="zh-CN"/>
        </w:rPr>
      </w:pPr>
      <w:r>
        <w:rPr>
          <w:rFonts w:hint="eastAsia"/>
          <w:lang w:eastAsia="zh-CN"/>
        </w:rPr>
        <w:t>前悬架：Sf ≥ 120 mm；</w:t>
      </w:r>
    </w:p>
    <w:p w14:paraId="68437156">
      <w:pPr>
        <w:pStyle w:val="27"/>
        <w:rPr>
          <w:rFonts w:hint="eastAsia"/>
          <w:lang w:eastAsia="zh-CN"/>
        </w:rPr>
      </w:pPr>
      <w:r>
        <w:rPr>
          <w:rFonts w:hint="eastAsia"/>
          <w:lang w:val="en-US" w:eastAsia="zh-CN"/>
        </w:rPr>
        <w:t xml:space="preserve">b) </w:t>
      </w:r>
      <w:r>
        <w:rPr>
          <w:rFonts w:hint="eastAsia"/>
          <w:lang w:eastAsia="zh-CN"/>
        </w:rPr>
        <w:t>后悬架：Sr ≥ 120 mm；</w:t>
      </w:r>
    </w:p>
    <w:p w14:paraId="183027D6">
      <w:pPr>
        <w:pStyle w:val="27"/>
        <w:rPr>
          <w:rFonts w:hint="eastAsia"/>
          <w:lang w:eastAsia="zh-CN"/>
        </w:rPr>
      </w:pPr>
      <w:r>
        <w:rPr>
          <w:rFonts w:hint="eastAsia"/>
          <w:lang w:val="en-US" w:eastAsia="zh-CN"/>
        </w:rPr>
        <w:t xml:space="preserve">c) </w:t>
      </w:r>
      <w:r>
        <w:rPr>
          <w:rFonts w:hint="eastAsia"/>
          <w:lang w:eastAsia="zh-CN"/>
        </w:rPr>
        <w:t>试验过程中无卡滞、异响；防尘套完好、无渗漏。</w:t>
      </w:r>
    </w:p>
    <w:p w14:paraId="1000EAA9">
      <w:pPr>
        <w:pStyle w:val="27"/>
        <w:rPr>
          <w:rFonts w:hint="eastAsia"/>
          <w:lang w:eastAsia="zh-CN"/>
        </w:rPr>
      </w:pPr>
      <w:r>
        <w:rPr>
          <w:color w:val="auto"/>
          <w:highlight w:val="none"/>
        </w:rPr>
        <w:pict>
          <v:rect id="_x0000_i1027" o:spt="1" style="height:1.5pt;width:432pt;" fillcolor="#404040" filled="t" stroked="f" coordsize="21600,21600" o:hr="t" o:hrstd="t" o:hrnoshade="t" o:hralign="center">
            <v:path/>
            <v:fill on="t" focussize="0,0"/>
            <v:stroke on="f"/>
            <v:imagedata o:title=""/>
            <o:lock v:ext="edit"/>
            <w10:wrap type="none"/>
            <w10:anchorlock/>
          </v:rect>
        </w:pict>
      </w:r>
    </w:p>
    <w:p w14:paraId="47FF5D55">
      <w:pPr>
        <w:pStyle w:val="87"/>
        <w:numPr>
          <w:ilvl w:val="-1"/>
          <w:numId w:val="0"/>
        </w:numPr>
        <w:outlineLvl w:val="9"/>
        <w:rPr>
          <w:rFonts w:hint="eastAsia"/>
          <w:lang w:val="en-US" w:eastAsia="zh-CN"/>
        </w:rPr>
      </w:pPr>
      <w:r>
        <w:rPr>
          <w:rFonts w:hint="eastAsia"/>
          <w:lang w:val="en-US" w:eastAsia="zh-CN"/>
        </w:rPr>
        <w:t>C.6 试验记录</w:t>
      </w:r>
    </w:p>
    <w:p w14:paraId="166D79AD">
      <w:pPr>
        <w:pStyle w:val="27"/>
        <w:rPr>
          <w:rFonts w:hint="eastAsia"/>
          <w:lang w:eastAsia="zh-CN"/>
        </w:rPr>
      </w:pPr>
      <w:r>
        <w:rPr>
          <w:rFonts w:hint="eastAsia"/>
          <w:lang w:eastAsia="zh-CN"/>
        </w:rPr>
        <w:t>记录车辆型号、悬架形式与预载设置、轮胎气压、测量方法（A 或 B）、基准点示意、三次测得的 Sf/Sr、判定值、异常现象与结论。</w:t>
      </w:r>
    </w:p>
    <w:p w14:paraId="2AD5AFD9">
      <w:pPr>
        <w:pStyle w:val="101"/>
        <w:framePr w:wrap="around" w:hAnchor="page" w:x="4185" w:y="319"/>
        <w:rPr>
          <w:color w:val="auto"/>
          <w:highlight w:val="none"/>
        </w:rPr>
      </w:pPr>
      <w:r>
        <w:rPr>
          <w:color w:val="auto"/>
          <w:highlight w:val="none"/>
        </w:rPr>
        <w:t>_________________________________</w:t>
      </w:r>
    </w:p>
    <w:p w14:paraId="23F54A69">
      <w:pPr>
        <w:pStyle w:val="27"/>
        <w:rPr>
          <w:rFonts w:hint="eastAsia"/>
          <w:lang w:eastAsia="zh-CN"/>
        </w:rPr>
      </w:pPr>
    </w:p>
    <w:p w14:paraId="6216CDB8"/>
    <w:sectPr>
      <w:pgSz w:w="11906" w:h="16838"/>
      <w:pgMar w:top="1418" w:right="1134" w:bottom="1134" w:left="1417"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B82C7">
    <w:pPr>
      <w:pStyle w:val="95"/>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EE49">
    <w:pPr>
      <w:pStyle w:val="129"/>
    </w:pPr>
    <w:r>
      <w:fldChar w:fldCharType="begin"/>
    </w:r>
    <w:r>
      <w:instrText xml:space="preserve"> PAGE   \* Roman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12FB0">
    <w:pPr>
      <w:pStyle w:val="95"/>
    </w:pPr>
    <w:r>
      <w:fldChar w:fldCharType="begin"/>
    </w:r>
    <w:r>
      <w:instrText xml:space="preserve"> PAGE   \* Roman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995DA">
    <w:pPr>
      <w:pStyle w:val="129"/>
    </w:pPr>
    <w:r>
      <w:fldChar w:fldCharType="begin"/>
    </w:r>
    <w:r>
      <w:instrText xml:space="preserve"> PAGE   \* Arabic </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3913F">
    <w:pPr>
      <w:pStyle w:val="95"/>
    </w:pPr>
    <w:r>
      <w:fldChar w:fldCharType="begin"/>
    </w:r>
    <w:r>
      <w:instrText xml:space="preserve"> PAGE   \* Arabic </w:instrText>
    </w:r>
    <w:r>
      <w:fldChar w:fldCharType="separate"/>
    </w:r>
    <w: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70230">
    <w:pPr>
      <w:pStyle w:val="129"/>
    </w:pPr>
    <w:r>
      <w:fldChar w:fldCharType="begin"/>
    </w:r>
    <w:r>
      <w:instrText xml:space="preserve"> PAGE   \* Arabic </w:instrText>
    </w:r>
    <w:r>
      <w:fldChar w:fldCharType="separate"/>
    </w:r>
    <w:r>
      <w:t>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CC9A">
    <w:pPr>
      <w:pStyle w:val="95"/>
    </w:pPr>
    <w:r>
      <w:fldChar w:fldCharType="begin"/>
    </w:r>
    <w:r>
      <w:instrText xml:space="preserve"> PAGE   \* Arabic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3254">
    <w:pPr>
      <w:pStyle w:val="70"/>
    </w:pPr>
    <w:r>
      <w:t>T/ZAQ XXXXX—20</w:t>
    </w:r>
    <w:r>
      <w:rPr>
        <w:rFonts w:hint="eastAsia"/>
      </w:rPr>
      <w:t>2</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22F9">
    <w:pPr>
      <w:pStyle w:val="71"/>
    </w:pPr>
    <w:r>
      <w:rPr>
        <w:rFonts w:hint="eastAsia"/>
      </w:rPr>
      <w:t>T/</w:t>
    </w:r>
    <w:r>
      <w:t>ZAQ XXXXX—</w:t>
    </w:r>
    <w:r>
      <w:rPr>
        <w:rFonts w:hint="eastAsia"/>
      </w:rPr>
      <w:t>202</w:t>
    </w:r>
    <w: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3D3F1">
    <w:pPr>
      <w:pStyle w:val="70"/>
    </w:pPr>
    <w:r>
      <w:t>T/ZAQ XXXXX—20</w:t>
    </w:r>
    <w:r>
      <w:rPr>
        <w:rFonts w:hint="eastAsia"/>
      </w:rPr>
      <w:t>2</w:t>
    </w:r>
    <w: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9AFF">
    <w:pPr>
      <w:pStyle w:val="71"/>
    </w:pPr>
    <w:r>
      <w:rPr>
        <w:rFonts w:hint="eastAsia"/>
      </w:rPr>
      <w:t>T/</w:t>
    </w:r>
    <w:r>
      <w:t>ZAQ XXXXX—</w:t>
    </w:r>
    <w:r>
      <w:rPr>
        <w:rFonts w:hint="eastAsia"/>
      </w:rPr>
      <w:t>202</w:t>
    </w:r>
    <w: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83C9">
    <w:pPr>
      <w:pStyle w:val="70"/>
    </w:pPr>
    <w:r>
      <w:t>T/ZAQ XXXXX—20</w:t>
    </w:r>
    <w:r>
      <w:rPr>
        <w:rFonts w:hint="eastAsia"/>
      </w:rPr>
      <w:t>2</w:t>
    </w:r>
    <w:r>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2152">
    <w:pPr>
      <w:pStyle w:val="71"/>
    </w:pPr>
    <w:r>
      <w:rPr>
        <w:rFonts w:hint="eastAsia"/>
      </w:rPr>
      <w:t>T/</w:t>
    </w:r>
    <w:r>
      <w:t>ZAQ XXXXX—</w:t>
    </w:r>
    <w:r>
      <w:rPr>
        <w:rFonts w:hint="eastAsia"/>
      </w:rPr>
      <w:t>202</w:t>
    </w:r>
    <w: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FD82">
    <w:pPr>
      <w:pStyle w:val="70"/>
    </w:pPr>
    <w:r>
      <w:t>T/ZAQ XXXXX—20</w:t>
    </w:r>
    <w:r>
      <w:rPr>
        <w:rFonts w:hint="eastAsia"/>
      </w:rPr>
      <w:t>2</w:t>
    </w:r>
    <w: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B62BE"/>
    <w:multiLevelType w:val="singleLevel"/>
    <w:tmpl w:val="824B62BE"/>
    <w:lvl w:ilvl="0" w:tentative="0">
      <w:start w:val="1"/>
      <w:numFmt w:val="lowerLetter"/>
      <w:suff w:val="space"/>
      <w:lvlText w:val="%1)"/>
      <w:lvlJc w:val="left"/>
    </w:lvl>
  </w:abstractNum>
  <w:abstractNum w:abstractNumId="1">
    <w:nsid w:val="B54BE258"/>
    <w:multiLevelType w:val="multilevel"/>
    <w:tmpl w:val="B54BE25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C35C6206"/>
    <w:multiLevelType w:val="multilevel"/>
    <w:tmpl w:val="C35C620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F2E74156"/>
    <w:multiLevelType w:val="singleLevel"/>
    <w:tmpl w:val="F2E74156"/>
    <w:lvl w:ilvl="0" w:tentative="0">
      <w:start w:val="1"/>
      <w:numFmt w:val="lowerLetter"/>
      <w:suff w:val="space"/>
      <w:lvlText w:val="%1)"/>
      <w:lvlJc w:val="left"/>
    </w:lvl>
  </w:abstractNum>
  <w:abstractNum w:abstractNumId="4">
    <w:nsid w:val="F84FEAC0"/>
    <w:multiLevelType w:val="multilevel"/>
    <w:tmpl w:val="F84FEAC0"/>
    <w:lvl w:ilvl="0" w:tentative="0">
      <w:start w:val="1"/>
      <w:numFmt w:val="lowerLetter"/>
      <w:pStyle w:val="11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093C6778"/>
    <w:multiLevelType w:val="multilevel"/>
    <w:tmpl w:val="093C6778"/>
    <w:lvl w:ilvl="0" w:tentative="0">
      <w:start w:val="1"/>
      <w:numFmt w:val="decimal"/>
      <w:pStyle w:val="5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AE367E9"/>
    <w:multiLevelType w:val="multilevel"/>
    <w:tmpl w:val="0AE367E9"/>
    <w:lvl w:ilvl="0" w:tentative="0">
      <w:start w:val="1"/>
      <w:numFmt w:val="none"/>
      <w:pStyle w:val="11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292EB7"/>
    <w:multiLevelType w:val="multilevel"/>
    <w:tmpl w:val="0B292EB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1DBF583A"/>
    <w:multiLevelType w:val="multilevel"/>
    <w:tmpl w:val="1DBF583A"/>
    <w:lvl w:ilvl="0" w:tentative="0">
      <w:start w:val="1"/>
      <w:numFmt w:val="decimal"/>
      <w:pStyle w:val="13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9">
    <w:nsid w:val="1E514F18"/>
    <w:multiLevelType w:val="multilevel"/>
    <w:tmpl w:val="1E514F18"/>
    <w:lvl w:ilvl="0" w:tentative="0">
      <w:start w:val="1"/>
      <w:numFmt w:val="lowerLetter"/>
      <w:pStyle w:val="8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1FC91163"/>
    <w:multiLevelType w:val="multilevel"/>
    <w:tmpl w:val="1FC91163"/>
    <w:lvl w:ilvl="0" w:tentative="0">
      <w:start w:val="1"/>
      <w:numFmt w:val="decimal"/>
      <w:pStyle w:val="5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3"/>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82"/>
      <w:suff w:val="nothing"/>
      <w:lvlText w:val="%1.%2.%3　"/>
      <w:lvlJc w:val="left"/>
      <w:pPr>
        <w:ind w:left="210" w:firstLine="0"/>
      </w:pPr>
      <w:rPr>
        <w:rFonts w:hint="eastAsia" w:ascii="黑体" w:hAnsi="Times New Roman" w:eastAsia="黑体"/>
        <w:b w:val="0"/>
        <w:i w:val="0"/>
        <w:sz w:val="21"/>
      </w:rPr>
    </w:lvl>
    <w:lvl w:ilvl="3" w:tentative="0">
      <w:start w:val="1"/>
      <w:numFmt w:val="decimal"/>
      <w:pStyle w:val="8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A8F7113"/>
    <w:multiLevelType w:val="multilevel"/>
    <w:tmpl w:val="2A8F7113"/>
    <w:lvl w:ilvl="0" w:tentative="0">
      <w:start w:val="1"/>
      <w:numFmt w:val="upperLetter"/>
      <w:pStyle w:val="93"/>
      <w:suff w:val="space"/>
      <w:lvlText w:val="%1"/>
      <w:lvlJc w:val="left"/>
      <w:pPr>
        <w:ind w:left="623" w:hanging="425"/>
      </w:pPr>
      <w:rPr>
        <w:rFonts w:hint="eastAsia"/>
      </w:rPr>
    </w:lvl>
    <w:lvl w:ilvl="1" w:tentative="0">
      <w:start w:val="1"/>
      <w:numFmt w:val="decimal"/>
      <w:pStyle w:val="13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2">
    <w:nsid w:val="2C5917C3"/>
    <w:multiLevelType w:val="multilevel"/>
    <w:tmpl w:val="2C5917C3"/>
    <w:lvl w:ilvl="0" w:tentative="0">
      <w:start w:val="1"/>
      <w:numFmt w:val="none"/>
      <w:pStyle w:val="88"/>
      <w:suff w:val="nothing"/>
      <w:lvlText w:val="%1——"/>
      <w:lvlJc w:val="left"/>
      <w:pPr>
        <w:ind w:left="833" w:hanging="408"/>
      </w:pPr>
      <w:rPr>
        <w:rFonts w:hint="eastAsia"/>
      </w:rPr>
    </w:lvl>
    <w:lvl w:ilvl="1" w:tentative="0">
      <w:start w:val="1"/>
      <w:numFmt w:val="bullet"/>
      <w:pStyle w:val="137"/>
      <w:lvlText w:val=""/>
      <w:lvlJc w:val="left"/>
      <w:pPr>
        <w:tabs>
          <w:tab w:val="left" w:pos="760"/>
        </w:tabs>
        <w:ind w:left="1264" w:hanging="413"/>
      </w:pPr>
      <w:rPr>
        <w:rFonts w:hint="default" w:ascii="Symbol" w:hAnsi="Symbol"/>
        <w:color w:val="auto"/>
      </w:rPr>
    </w:lvl>
    <w:lvl w:ilvl="2" w:tentative="0">
      <w:start w:val="1"/>
      <w:numFmt w:val="bullet"/>
      <w:pStyle w:val="10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08DA613"/>
    <w:multiLevelType w:val="singleLevel"/>
    <w:tmpl w:val="308DA613"/>
    <w:lvl w:ilvl="0" w:tentative="0">
      <w:start w:val="1"/>
      <w:numFmt w:val="lowerLetter"/>
      <w:suff w:val="space"/>
      <w:lvlText w:val="%1)"/>
      <w:lvlJc w:val="left"/>
    </w:lvl>
  </w:abstractNum>
  <w:abstractNum w:abstractNumId="14">
    <w:nsid w:val="31A8A022"/>
    <w:multiLevelType w:val="singleLevel"/>
    <w:tmpl w:val="31A8A022"/>
    <w:lvl w:ilvl="0" w:tentative="0">
      <w:start w:val="1"/>
      <w:numFmt w:val="lowerLetter"/>
      <w:suff w:val="space"/>
      <w:lvlText w:val="%1)"/>
      <w:lvlJc w:val="left"/>
    </w:lvl>
  </w:abstractNum>
  <w:abstractNum w:abstractNumId="15">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6">
    <w:nsid w:val="44C50F90"/>
    <w:multiLevelType w:val="multilevel"/>
    <w:tmpl w:val="44C50F9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42"/>
      <w:lvlText w:val="%2)"/>
      <w:lvlJc w:val="left"/>
      <w:pPr>
        <w:tabs>
          <w:tab w:val="left" w:pos="1260"/>
        </w:tabs>
        <w:ind w:left="1259" w:hanging="419"/>
      </w:pPr>
      <w:rPr>
        <w:rFonts w:hint="eastAsia"/>
      </w:rPr>
    </w:lvl>
    <w:lvl w:ilvl="2" w:tentative="0">
      <w:start w:val="1"/>
      <w:numFmt w:val="decimal"/>
      <w:pStyle w:val="8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A949872"/>
    <w:multiLevelType w:val="multilevel"/>
    <w:tmpl w:val="4A949872"/>
    <w:lvl w:ilvl="0" w:tentative="0">
      <w:start w:val="1"/>
      <w:numFmt w:val="decimal"/>
      <w:pStyle w:val="12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B733A5F"/>
    <w:multiLevelType w:val="multilevel"/>
    <w:tmpl w:val="4B733A5F"/>
    <w:lvl w:ilvl="0" w:tentative="0">
      <w:start w:val="1"/>
      <w:numFmt w:val="decimal"/>
      <w:pStyle w:val="11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9">
    <w:nsid w:val="557C2AF5"/>
    <w:multiLevelType w:val="multilevel"/>
    <w:tmpl w:val="557C2AF5"/>
    <w:lvl w:ilvl="0" w:tentative="0">
      <w:start w:val="1"/>
      <w:numFmt w:val="decimal"/>
      <w:pStyle w:val="14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568190E7"/>
    <w:multiLevelType w:val="singleLevel"/>
    <w:tmpl w:val="568190E7"/>
    <w:lvl w:ilvl="0" w:tentative="0">
      <w:start w:val="1"/>
      <w:numFmt w:val="decimal"/>
      <w:lvlText w:val="%1"/>
      <w:lvlJc w:val="left"/>
      <w:pPr>
        <w:tabs>
          <w:tab w:val="left" w:pos="420"/>
        </w:tabs>
        <w:ind w:left="425" w:hanging="425"/>
      </w:pPr>
      <w:rPr>
        <w:rFonts w:hint="default"/>
      </w:rPr>
    </w:lvl>
  </w:abstractNum>
  <w:abstractNum w:abstractNumId="21">
    <w:nsid w:val="60B55DC2"/>
    <w:multiLevelType w:val="multilevel"/>
    <w:tmpl w:val="60B55DC2"/>
    <w:lvl w:ilvl="0" w:tentative="0">
      <w:start w:val="1"/>
      <w:numFmt w:val="upperLetter"/>
      <w:pStyle w:val="145"/>
      <w:lvlText w:val="%1"/>
      <w:lvlJc w:val="left"/>
      <w:pPr>
        <w:tabs>
          <w:tab w:val="left" w:pos="0"/>
        </w:tabs>
        <w:ind w:left="0" w:hanging="425"/>
      </w:pPr>
      <w:rPr>
        <w:rFonts w:hint="eastAsia"/>
      </w:rPr>
    </w:lvl>
    <w:lvl w:ilvl="1" w:tentative="0">
      <w:start w:val="1"/>
      <w:numFmt w:val="decimal"/>
      <w:pStyle w:val="13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46260FA"/>
    <w:multiLevelType w:val="multilevel"/>
    <w:tmpl w:val="646260FA"/>
    <w:lvl w:ilvl="0" w:tentative="0">
      <w:start w:val="1"/>
      <w:numFmt w:val="decimal"/>
      <w:pStyle w:val="10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57D3FBC"/>
    <w:multiLevelType w:val="multilevel"/>
    <w:tmpl w:val="657D3FBC"/>
    <w:lvl w:ilvl="0" w:tentative="0">
      <w:start w:val="1"/>
      <w:numFmt w:val="upperLetter"/>
      <w:pStyle w:val="6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D6C07CD"/>
    <w:multiLevelType w:val="multilevel"/>
    <w:tmpl w:val="6D6C07CD"/>
    <w:lvl w:ilvl="0" w:tentative="0">
      <w:start w:val="1"/>
      <w:numFmt w:val="lowerLetter"/>
      <w:pStyle w:val="126"/>
      <w:lvlText w:val="%1)"/>
      <w:lvlJc w:val="left"/>
      <w:pPr>
        <w:tabs>
          <w:tab w:val="left" w:pos="839"/>
        </w:tabs>
        <w:ind w:left="839" w:hanging="419"/>
      </w:pPr>
      <w:rPr>
        <w:rFonts w:hint="eastAsia" w:ascii="宋体" w:eastAsia="宋体"/>
        <w:b w:val="0"/>
        <w:i w:val="0"/>
        <w:sz w:val="21"/>
      </w:rPr>
    </w:lvl>
    <w:lvl w:ilvl="1" w:tentative="0">
      <w:start w:val="1"/>
      <w:numFmt w:val="decimal"/>
      <w:pStyle w:val="12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5">
    <w:nsid w:val="6DBF04F4"/>
    <w:multiLevelType w:val="multilevel"/>
    <w:tmpl w:val="6DBF04F4"/>
    <w:lvl w:ilvl="0" w:tentative="0">
      <w:start w:val="1"/>
      <w:numFmt w:val="none"/>
      <w:pStyle w:val="7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6">
    <w:nsid w:val="7063CB17"/>
    <w:multiLevelType w:val="singleLevel"/>
    <w:tmpl w:val="7063CB17"/>
    <w:lvl w:ilvl="0" w:tentative="0">
      <w:start w:val="1"/>
      <w:numFmt w:val="lowerLetter"/>
      <w:suff w:val="space"/>
      <w:lvlText w:val="%1)"/>
      <w:lvlJc w:val="left"/>
    </w:lvl>
  </w:abstractNum>
  <w:num w:numId="1">
    <w:abstractNumId w:val="15"/>
  </w:num>
  <w:num w:numId="2">
    <w:abstractNumId w:val="5"/>
  </w:num>
  <w:num w:numId="3">
    <w:abstractNumId w:val="10"/>
  </w:num>
  <w:num w:numId="4">
    <w:abstractNumId w:val="23"/>
  </w:num>
  <w:num w:numId="5">
    <w:abstractNumId w:val="25"/>
  </w:num>
  <w:num w:numId="6">
    <w:abstractNumId w:val="16"/>
  </w:num>
  <w:num w:numId="7">
    <w:abstractNumId w:val="12"/>
  </w:num>
  <w:num w:numId="8">
    <w:abstractNumId w:val="9"/>
  </w:num>
  <w:num w:numId="9">
    <w:abstractNumId w:val="11"/>
  </w:num>
  <w:num w:numId="10">
    <w:abstractNumId w:val="22"/>
  </w:num>
  <w:num w:numId="11">
    <w:abstractNumId w:val="6"/>
  </w:num>
  <w:num w:numId="12">
    <w:abstractNumId w:val="4"/>
  </w:num>
  <w:num w:numId="13">
    <w:abstractNumId w:val="18"/>
  </w:num>
  <w:num w:numId="14">
    <w:abstractNumId w:val="24"/>
  </w:num>
  <w:num w:numId="15">
    <w:abstractNumId w:val="17"/>
  </w:num>
  <w:num w:numId="16">
    <w:abstractNumId w:val="8"/>
  </w:num>
  <w:num w:numId="17">
    <w:abstractNumId w:val="21"/>
  </w:num>
  <w:num w:numId="18">
    <w:abstractNumId w:val="1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4"/>
  </w:num>
  <w:num w:numId="26">
    <w:abstractNumId w:val="3"/>
  </w:num>
  <w:num w:numId="27">
    <w:abstractNumId w:val="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yMDZhZDkyMTE2NjBhNzA5NTdjZmI4OGU4MTAyOTAifQ=="/>
    <w:docVar w:name="KSO_WPS_MARK_KEY" w:val="2cda9a89-889f-43cb-8d56-7120ed29df1e"/>
  </w:docVars>
  <w:rsids>
    <w:rsidRoot w:val="00035925"/>
    <w:rsid w:val="00000244"/>
    <w:rsid w:val="0000185F"/>
    <w:rsid w:val="0000586F"/>
    <w:rsid w:val="0001082F"/>
    <w:rsid w:val="00013D86"/>
    <w:rsid w:val="00013E02"/>
    <w:rsid w:val="00016D29"/>
    <w:rsid w:val="0002143C"/>
    <w:rsid w:val="00024D73"/>
    <w:rsid w:val="00025A65"/>
    <w:rsid w:val="00026C31"/>
    <w:rsid w:val="00027280"/>
    <w:rsid w:val="00031663"/>
    <w:rsid w:val="000320A7"/>
    <w:rsid w:val="00033841"/>
    <w:rsid w:val="0003559F"/>
    <w:rsid w:val="000358B6"/>
    <w:rsid w:val="00035925"/>
    <w:rsid w:val="000438F1"/>
    <w:rsid w:val="0005035D"/>
    <w:rsid w:val="00050648"/>
    <w:rsid w:val="00052C18"/>
    <w:rsid w:val="00054692"/>
    <w:rsid w:val="00056315"/>
    <w:rsid w:val="00062B2F"/>
    <w:rsid w:val="00067CDF"/>
    <w:rsid w:val="00074FBE"/>
    <w:rsid w:val="00083415"/>
    <w:rsid w:val="00083A09"/>
    <w:rsid w:val="000868F2"/>
    <w:rsid w:val="0009005E"/>
    <w:rsid w:val="00090B93"/>
    <w:rsid w:val="00092857"/>
    <w:rsid w:val="00096A0D"/>
    <w:rsid w:val="000A20A9"/>
    <w:rsid w:val="000A48B1"/>
    <w:rsid w:val="000B3143"/>
    <w:rsid w:val="000B4B1C"/>
    <w:rsid w:val="000C47A1"/>
    <w:rsid w:val="000C4928"/>
    <w:rsid w:val="000C52A7"/>
    <w:rsid w:val="000C651B"/>
    <w:rsid w:val="000C6B05"/>
    <w:rsid w:val="000C6DD6"/>
    <w:rsid w:val="000C73D4"/>
    <w:rsid w:val="000D3D4C"/>
    <w:rsid w:val="000D4F51"/>
    <w:rsid w:val="000D718B"/>
    <w:rsid w:val="000E059A"/>
    <w:rsid w:val="000E0B88"/>
    <w:rsid w:val="000E0C46"/>
    <w:rsid w:val="000E43F1"/>
    <w:rsid w:val="000E630F"/>
    <w:rsid w:val="000E79F7"/>
    <w:rsid w:val="000F0197"/>
    <w:rsid w:val="000F030C"/>
    <w:rsid w:val="000F129C"/>
    <w:rsid w:val="000F19AE"/>
    <w:rsid w:val="000F3707"/>
    <w:rsid w:val="001020F3"/>
    <w:rsid w:val="001036BE"/>
    <w:rsid w:val="001045EA"/>
    <w:rsid w:val="001056DE"/>
    <w:rsid w:val="00107050"/>
    <w:rsid w:val="001124C0"/>
    <w:rsid w:val="00124188"/>
    <w:rsid w:val="0013175F"/>
    <w:rsid w:val="00135248"/>
    <w:rsid w:val="00146E25"/>
    <w:rsid w:val="001512B4"/>
    <w:rsid w:val="00151CF1"/>
    <w:rsid w:val="001620A5"/>
    <w:rsid w:val="00164E53"/>
    <w:rsid w:val="00166910"/>
    <w:rsid w:val="0016699D"/>
    <w:rsid w:val="001676C9"/>
    <w:rsid w:val="00174563"/>
    <w:rsid w:val="00175159"/>
    <w:rsid w:val="00176208"/>
    <w:rsid w:val="0018211B"/>
    <w:rsid w:val="00183884"/>
    <w:rsid w:val="001840D3"/>
    <w:rsid w:val="00185FC1"/>
    <w:rsid w:val="001900F8"/>
    <w:rsid w:val="00191258"/>
    <w:rsid w:val="00191268"/>
    <w:rsid w:val="00192680"/>
    <w:rsid w:val="001926A1"/>
    <w:rsid w:val="00193037"/>
    <w:rsid w:val="001931F8"/>
    <w:rsid w:val="00193650"/>
    <w:rsid w:val="00193A2C"/>
    <w:rsid w:val="001A288E"/>
    <w:rsid w:val="001A64C8"/>
    <w:rsid w:val="001B1355"/>
    <w:rsid w:val="001B6DC2"/>
    <w:rsid w:val="001C149C"/>
    <w:rsid w:val="001C21AC"/>
    <w:rsid w:val="001C47BA"/>
    <w:rsid w:val="001C59EA"/>
    <w:rsid w:val="001D406C"/>
    <w:rsid w:val="001D41EE"/>
    <w:rsid w:val="001E0380"/>
    <w:rsid w:val="001E13B1"/>
    <w:rsid w:val="001E37B1"/>
    <w:rsid w:val="001E3E08"/>
    <w:rsid w:val="001E62F1"/>
    <w:rsid w:val="001F3A19"/>
    <w:rsid w:val="00204999"/>
    <w:rsid w:val="00234467"/>
    <w:rsid w:val="00236563"/>
    <w:rsid w:val="00237D8D"/>
    <w:rsid w:val="0024164C"/>
    <w:rsid w:val="00241DA2"/>
    <w:rsid w:val="00245594"/>
    <w:rsid w:val="00245AC4"/>
    <w:rsid w:val="0024669F"/>
    <w:rsid w:val="00247FEE"/>
    <w:rsid w:val="00250E7D"/>
    <w:rsid w:val="00252BC8"/>
    <w:rsid w:val="00253453"/>
    <w:rsid w:val="002565D5"/>
    <w:rsid w:val="0026016A"/>
    <w:rsid w:val="002622C0"/>
    <w:rsid w:val="0026410B"/>
    <w:rsid w:val="00271141"/>
    <w:rsid w:val="0027759F"/>
    <w:rsid w:val="002778AE"/>
    <w:rsid w:val="0028098B"/>
    <w:rsid w:val="00280E4B"/>
    <w:rsid w:val="0028269A"/>
    <w:rsid w:val="00283590"/>
    <w:rsid w:val="002868D2"/>
    <w:rsid w:val="00286973"/>
    <w:rsid w:val="00290075"/>
    <w:rsid w:val="00294D2D"/>
    <w:rsid w:val="00294E70"/>
    <w:rsid w:val="00296269"/>
    <w:rsid w:val="002A1924"/>
    <w:rsid w:val="002A7420"/>
    <w:rsid w:val="002B0F12"/>
    <w:rsid w:val="002B1308"/>
    <w:rsid w:val="002B2632"/>
    <w:rsid w:val="002B3ECF"/>
    <w:rsid w:val="002B4554"/>
    <w:rsid w:val="002C72D8"/>
    <w:rsid w:val="002D0E66"/>
    <w:rsid w:val="002D11FA"/>
    <w:rsid w:val="002E0DDF"/>
    <w:rsid w:val="002E2906"/>
    <w:rsid w:val="002E5635"/>
    <w:rsid w:val="002E64C3"/>
    <w:rsid w:val="002E6A2C"/>
    <w:rsid w:val="002F1D8C"/>
    <w:rsid w:val="002F21DA"/>
    <w:rsid w:val="002F5922"/>
    <w:rsid w:val="00301F39"/>
    <w:rsid w:val="00305BFC"/>
    <w:rsid w:val="00307272"/>
    <w:rsid w:val="00317F54"/>
    <w:rsid w:val="00320581"/>
    <w:rsid w:val="00325926"/>
    <w:rsid w:val="00325B6D"/>
    <w:rsid w:val="003261E3"/>
    <w:rsid w:val="00327A8A"/>
    <w:rsid w:val="00331B2F"/>
    <w:rsid w:val="00336610"/>
    <w:rsid w:val="00343F73"/>
    <w:rsid w:val="00345060"/>
    <w:rsid w:val="003457C2"/>
    <w:rsid w:val="003471BD"/>
    <w:rsid w:val="0035323B"/>
    <w:rsid w:val="003578BA"/>
    <w:rsid w:val="0036015A"/>
    <w:rsid w:val="003609D2"/>
    <w:rsid w:val="00363F22"/>
    <w:rsid w:val="00364E5C"/>
    <w:rsid w:val="0036723B"/>
    <w:rsid w:val="00370C90"/>
    <w:rsid w:val="00375564"/>
    <w:rsid w:val="0038088A"/>
    <w:rsid w:val="00383191"/>
    <w:rsid w:val="003836E7"/>
    <w:rsid w:val="00386624"/>
    <w:rsid w:val="00386DED"/>
    <w:rsid w:val="00387FC4"/>
    <w:rsid w:val="003912E7"/>
    <w:rsid w:val="00392A0C"/>
    <w:rsid w:val="00393947"/>
    <w:rsid w:val="003A05EF"/>
    <w:rsid w:val="003A2275"/>
    <w:rsid w:val="003A4089"/>
    <w:rsid w:val="003A6A4F"/>
    <w:rsid w:val="003A7088"/>
    <w:rsid w:val="003B00DF"/>
    <w:rsid w:val="003B1275"/>
    <w:rsid w:val="003B1778"/>
    <w:rsid w:val="003B272F"/>
    <w:rsid w:val="003B6F85"/>
    <w:rsid w:val="003C01F2"/>
    <w:rsid w:val="003C11CB"/>
    <w:rsid w:val="003C75F3"/>
    <w:rsid w:val="003C78A3"/>
    <w:rsid w:val="003D5D3C"/>
    <w:rsid w:val="003D672F"/>
    <w:rsid w:val="003E1867"/>
    <w:rsid w:val="003E5729"/>
    <w:rsid w:val="003F30CD"/>
    <w:rsid w:val="003F4EE0"/>
    <w:rsid w:val="004011AB"/>
    <w:rsid w:val="00402153"/>
    <w:rsid w:val="00402FC1"/>
    <w:rsid w:val="004035AE"/>
    <w:rsid w:val="00404ADE"/>
    <w:rsid w:val="00410A0C"/>
    <w:rsid w:val="004120F1"/>
    <w:rsid w:val="004208F2"/>
    <w:rsid w:val="00421A26"/>
    <w:rsid w:val="00425082"/>
    <w:rsid w:val="00431DEB"/>
    <w:rsid w:val="00442C64"/>
    <w:rsid w:val="00443833"/>
    <w:rsid w:val="00444460"/>
    <w:rsid w:val="00446B29"/>
    <w:rsid w:val="00450E9E"/>
    <w:rsid w:val="00453DE8"/>
    <w:rsid w:val="00453F9A"/>
    <w:rsid w:val="00471E91"/>
    <w:rsid w:val="00474675"/>
    <w:rsid w:val="0047470C"/>
    <w:rsid w:val="00481E99"/>
    <w:rsid w:val="0048466A"/>
    <w:rsid w:val="00484AC3"/>
    <w:rsid w:val="00492F04"/>
    <w:rsid w:val="00494314"/>
    <w:rsid w:val="00494E59"/>
    <w:rsid w:val="00496379"/>
    <w:rsid w:val="004A25B8"/>
    <w:rsid w:val="004A26FF"/>
    <w:rsid w:val="004A35F9"/>
    <w:rsid w:val="004A40B4"/>
    <w:rsid w:val="004A61F3"/>
    <w:rsid w:val="004A6C87"/>
    <w:rsid w:val="004B154F"/>
    <w:rsid w:val="004B202F"/>
    <w:rsid w:val="004B24C1"/>
    <w:rsid w:val="004B410B"/>
    <w:rsid w:val="004C292F"/>
    <w:rsid w:val="004C4B56"/>
    <w:rsid w:val="004C57F8"/>
    <w:rsid w:val="004D5B5D"/>
    <w:rsid w:val="004D6EBF"/>
    <w:rsid w:val="004E2083"/>
    <w:rsid w:val="004E287F"/>
    <w:rsid w:val="004E5004"/>
    <w:rsid w:val="004E5141"/>
    <w:rsid w:val="004F364B"/>
    <w:rsid w:val="0050025C"/>
    <w:rsid w:val="00504EFE"/>
    <w:rsid w:val="0050709E"/>
    <w:rsid w:val="00510280"/>
    <w:rsid w:val="00513D73"/>
    <w:rsid w:val="00514A43"/>
    <w:rsid w:val="005174E5"/>
    <w:rsid w:val="00520B5B"/>
    <w:rsid w:val="00522393"/>
    <w:rsid w:val="00522620"/>
    <w:rsid w:val="00522E8F"/>
    <w:rsid w:val="0052302C"/>
    <w:rsid w:val="00524376"/>
    <w:rsid w:val="00525656"/>
    <w:rsid w:val="0052625F"/>
    <w:rsid w:val="00532FB0"/>
    <w:rsid w:val="00534C02"/>
    <w:rsid w:val="00541489"/>
    <w:rsid w:val="0054264B"/>
    <w:rsid w:val="00543786"/>
    <w:rsid w:val="005460DC"/>
    <w:rsid w:val="005533D7"/>
    <w:rsid w:val="00555157"/>
    <w:rsid w:val="005703DE"/>
    <w:rsid w:val="0058464E"/>
    <w:rsid w:val="00587632"/>
    <w:rsid w:val="005921CF"/>
    <w:rsid w:val="005A01CB"/>
    <w:rsid w:val="005A58FF"/>
    <w:rsid w:val="005A5EAF"/>
    <w:rsid w:val="005A64C0"/>
    <w:rsid w:val="005A7424"/>
    <w:rsid w:val="005B0A39"/>
    <w:rsid w:val="005B3C11"/>
    <w:rsid w:val="005C1C28"/>
    <w:rsid w:val="005C6B1E"/>
    <w:rsid w:val="005C6DB5"/>
    <w:rsid w:val="005D4D2B"/>
    <w:rsid w:val="005E19E7"/>
    <w:rsid w:val="005F48F2"/>
    <w:rsid w:val="00604385"/>
    <w:rsid w:val="00610DCF"/>
    <w:rsid w:val="00611437"/>
    <w:rsid w:val="006115C1"/>
    <w:rsid w:val="0061447A"/>
    <w:rsid w:val="0061716C"/>
    <w:rsid w:val="00622335"/>
    <w:rsid w:val="00623DF0"/>
    <w:rsid w:val="006243A1"/>
    <w:rsid w:val="006279F4"/>
    <w:rsid w:val="0063067E"/>
    <w:rsid w:val="006323F0"/>
    <w:rsid w:val="006327D3"/>
    <w:rsid w:val="00632E56"/>
    <w:rsid w:val="00633EA0"/>
    <w:rsid w:val="006345FE"/>
    <w:rsid w:val="006353A8"/>
    <w:rsid w:val="00635CBA"/>
    <w:rsid w:val="00635E5C"/>
    <w:rsid w:val="0063656A"/>
    <w:rsid w:val="0064338B"/>
    <w:rsid w:val="00645B06"/>
    <w:rsid w:val="00646542"/>
    <w:rsid w:val="006504F4"/>
    <w:rsid w:val="006515B3"/>
    <w:rsid w:val="00654BC9"/>
    <w:rsid w:val="006552FD"/>
    <w:rsid w:val="00657059"/>
    <w:rsid w:val="00663AF3"/>
    <w:rsid w:val="00664DD8"/>
    <w:rsid w:val="00666B6C"/>
    <w:rsid w:val="00667189"/>
    <w:rsid w:val="0067609E"/>
    <w:rsid w:val="00676627"/>
    <w:rsid w:val="00681BA0"/>
    <w:rsid w:val="00682682"/>
    <w:rsid w:val="00682702"/>
    <w:rsid w:val="00692368"/>
    <w:rsid w:val="006925BB"/>
    <w:rsid w:val="006941C1"/>
    <w:rsid w:val="00694CF1"/>
    <w:rsid w:val="006A00F2"/>
    <w:rsid w:val="006A2EBC"/>
    <w:rsid w:val="006A3AA1"/>
    <w:rsid w:val="006A5EA0"/>
    <w:rsid w:val="006A783B"/>
    <w:rsid w:val="006A7B33"/>
    <w:rsid w:val="006B41F3"/>
    <w:rsid w:val="006B4E13"/>
    <w:rsid w:val="006B75DD"/>
    <w:rsid w:val="006B7CA2"/>
    <w:rsid w:val="006C67E0"/>
    <w:rsid w:val="006C7ABA"/>
    <w:rsid w:val="006D0D60"/>
    <w:rsid w:val="006D1122"/>
    <w:rsid w:val="006D2FD5"/>
    <w:rsid w:val="006D3C00"/>
    <w:rsid w:val="006D7260"/>
    <w:rsid w:val="006E3675"/>
    <w:rsid w:val="006E4A7F"/>
    <w:rsid w:val="006F0D88"/>
    <w:rsid w:val="006F5381"/>
    <w:rsid w:val="006F565E"/>
    <w:rsid w:val="00704DF6"/>
    <w:rsid w:val="0070651C"/>
    <w:rsid w:val="007132A3"/>
    <w:rsid w:val="00716421"/>
    <w:rsid w:val="0072047D"/>
    <w:rsid w:val="00724EFB"/>
    <w:rsid w:val="00737558"/>
    <w:rsid w:val="00737A66"/>
    <w:rsid w:val="0074177A"/>
    <w:rsid w:val="007419C3"/>
    <w:rsid w:val="00745FC1"/>
    <w:rsid w:val="00746508"/>
    <w:rsid w:val="007467A7"/>
    <w:rsid w:val="007469DD"/>
    <w:rsid w:val="0074741B"/>
    <w:rsid w:val="0074759E"/>
    <w:rsid w:val="007478EA"/>
    <w:rsid w:val="0075415C"/>
    <w:rsid w:val="00757471"/>
    <w:rsid w:val="00761930"/>
    <w:rsid w:val="00763502"/>
    <w:rsid w:val="00765E20"/>
    <w:rsid w:val="0077095A"/>
    <w:rsid w:val="007753F7"/>
    <w:rsid w:val="00777106"/>
    <w:rsid w:val="00781915"/>
    <w:rsid w:val="007863C3"/>
    <w:rsid w:val="00787A13"/>
    <w:rsid w:val="0079077F"/>
    <w:rsid w:val="007913AB"/>
    <w:rsid w:val="007914F7"/>
    <w:rsid w:val="007A62F1"/>
    <w:rsid w:val="007A7A93"/>
    <w:rsid w:val="007B016B"/>
    <w:rsid w:val="007B1625"/>
    <w:rsid w:val="007B403F"/>
    <w:rsid w:val="007B706E"/>
    <w:rsid w:val="007B71EB"/>
    <w:rsid w:val="007C2123"/>
    <w:rsid w:val="007C5590"/>
    <w:rsid w:val="007C5F31"/>
    <w:rsid w:val="007C6205"/>
    <w:rsid w:val="007C686A"/>
    <w:rsid w:val="007C728E"/>
    <w:rsid w:val="007D15F1"/>
    <w:rsid w:val="007D241B"/>
    <w:rsid w:val="007D2C53"/>
    <w:rsid w:val="007D3D60"/>
    <w:rsid w:val="007E1980"/>
    <w:rsid w:val="007E4B76"/>
    <w:rsid w:val="007E5EA8"/>
    <w:rsid w:val="007F0CF1"/>
    <w:rsid w:val="007F12A5"/>
    <w:rsid w:val="007F4CF1"/>
    <w:rsid w:val="007F653C"/>
    <w:rsid w:val="007F6E0B"/>
    <w:rsid w:val="007F758D"/>
    <w:rsid w:val="007F7D52"/>
    <w:rsid w:val="00804ADB"/>
    <w:rsid w:val="0080654C"/>
    <w:rsid w:val="008071C6"/>
    <w:rsid w:val="00810028"/>
    <w:rsid w:val="00817A00"/>
    <w:rsid w:val="00823015"/>
    <w:rsid w:val="00827BFC"/>
    <w:rsid w:val="00835DB3"/>
    <w:rsid w:val="0083617B"/>
    <w:rsid w:val="00836E90"/>
    <w:rsid w:val="008371BD"/>
    <w:rsid w:val="00846855"/>
    <w:rsid w:val="008504A8"/>
    <w:rsid w:val="0085282E"/>
    <w:rsid w:val="008620B9"/>
    <w:rsid w:val="0087198C"/>
    <w:rsid w:val="00872C1F"/>
    <w:rsid w:val="00872CEE"/>
    <w:rsid w:val="00873B42"/>
    <w:rsid w:val="0087446C"/>
    <w:rsid w:val="00875157"/>
    <w:rsid w:val="00875D81"/>
    <w:rsid w:val="008856D8"/>
    <w:rsid w:val="00886438"/>
    <w:rsid w:val="00892E82"/>
    <w:rsid w:val="00897415"/>
    <w:rsid w:val="008A7B26"/>
    <w:rsid w:val="008B44C2"/>
    <w:rsid w:val="008B6A2E"/>
    <w:rsid w:val="008B7F3B"/>
    <w:rsid w:val="008C1B58"/>
    <w:rsid w:val="008C39AE"/>
    <w:rsid w:val="008C590D"/>
    <w:rsid w:val="008C6ADB"/>
    <w:rsid w:val="008D0AC3"/>
    <w:rsid w:val="008E031B"/>
    <w:rsid w:val="008E7029"/>
    <w:rsid w:val="008E7EF6"/>
    <w:rsid w:val="008F0478"/>
    <w:rsid w:val="008F138F"/>
    <w:rsid w:val="008F1F98"/>
    <w:rsid w:val="008F5D93"/>
    <w:rsid w:val="008F6758"/>
    <w:rsid w:val="00901F00"/>
    <w:rsid w:val="00901FCE"/>
    <w:rsid w:val="009040DD"/>
    <w:rsid w:val="00905B47"/>
    <w:rsid w:val="00911E47"/>
    <w:rsid w:val="0091331C"/>
    <w:rsid w:val="00914002"/>
    <w:rsid w:val="00917FD1"/>
    <w:rsid w:val="009201D6"/>
    <w:rsid w:val="0092057A"/>
    <w:rsid w:val="0092670E"/>
    <w:rsid w:val="00926917"/>
    <w:rsid w:val="009269C4"/>
    <w:rsid w:val="009279DE"/>
    <w:rsid w:val="00930116"/>
    <w:rsid w:val="0094212C"/>
    <w:rsid w:val="00944A72"/>
    <w:rsid w:val="0094666E"/>
    <w:rsid w:val="00954689"/>
    <w:rsid w:val="00956966"/>
    <w:rsid w:val="009617C9"/>
    <w:rsid w:val="00961C93"/>
    <w:rsid w:val="00965324"/>
    <w:rsid w:val="00966740"/>
    <w:rsid w:val="0097091E"/>
    <w:rsid w:val="009760D3"/>
    <w:rsid w:val="00977132"/>
    <w:rsid w:val="009776B8"/>
    <w:rsid w:val="0097776E"/>
    <w:rsid w:val="00981A4B"/>
    <w:rsid w:val="00982501"/>
    <w:rsid w:val="00983506"/>
    <w:rsid w:val="009877D3"/>
    <w:rsid w:val="00990E49"/>
    <w:rsid w:val="00994E8F"/>
    <w:rsid w:val="009951DC"/>
    <w:rsid w:val="009959BB"/>
    <w:rsid w:val="00997158"/>
    <w:rsid w:val="009A1D0B"/>
    <w:rsid w:val="009A3A7C"/>
    <w:rsid w:val="009A7D1B"/>
    <w:rsid w:val="009B090E"/>
    <w:rsid w:val="009B2ADB"/>
    <w:rsid w:val="009B460D"/>
    <w:rsid w:val="009B5586"/>
    <w:rsid w:val="009B603A"/>
    <w:rsid w:val="009B7AE1"/>
    <w:rsid w:val="009C01E4"/>
    <w:rsid w:val="009C0C53"/>
    <w:rsid w:val="009C2D0E"/>
    <w:rsid w:val="009C3DAC"/>
    <w:rsid w:val="009C42E0"/>
    <w:rsid w:val="009D2E9E"/>
    <w:rsid w:val="009D5362"/>
    <w:rsid w:val="009E1415"/>
    <w:rsid w:val="009E2BFA"/>
    <w:rsid w:val="009E5FCB"/>
    <w:rsid w:val="009E6116"/>
    <w:rsid w:val="009F2572"/>
    <w:rsid w:val="00A02E43"/>
    <w:rsid w:val="00A05B4A"/>
    <w:rsid w:val="00A065F9"/>
    <w:rsid w:val="00A07F34"/>
    <w:rsid w:val="00A11020"/>
    <w:rsid w:val="00A22154"/>
    <w:rsid w:val="00A23159"/>
    <w:rsid w:val="00A25C38"/>
    <w:rsid w:val="00A27AAE"/>
    <w:rsid w:val="00A35933"/>
    <w:rsid w:val="00A36BBE"/>
    <w:rsid w:val="00A4307A"/>
    <w:rsid w:val="00A47178"/>
    <w:rsid w:val="00A47EBB"/>
    <w:rsid w:val="00A51CDD"/>
    <w:rsid w:val="00A529C1"/>
    <w:rsid w:val="00A55F08"/>
    <w:rsid w:val="00A62DE4"/>
    <w:rsid w:val="00A63F89"/>
    <w:rsid w:val="00A6730D"/>
    <w:rsid w:val="00A71625"/>
    <w:rsid w:val="00A71B9B"/>
    <w:rsid w:val="00A738F3"/>
    <w:rsid w:val="00A751C7"/>
    <w:rsid w:val="00A758B9"/>
    <w:rsid w:val="00A76AE7"/>
    <w:rsid w:val="00A76EA7"/>
    <w:rsid w:val="00A87844"/>
    <w:rsid w:val="00A92996"/>
    <w:rsid w:val="00A933B6"/>
    <w:rsid w:val="00AA038C"/>
    <w:rsid w:val="00AA1EB1"/>
    <w:rsid w:val="00AA7A09"/>
    <w:rsid w:val="00AA7ED9"/>
    <w:rsid w:val="00AB3B50"/>
    <w:rsid w:val="00AC05B1"/>
    <w:rsid w:val="00AD233B"/>
    <w:rsid w:val="00AD3565"/>
    <w:rsid w:val="00AD356C"/>
    <w:rsid w:val="00AD7712"/>
    <w:rsid w:val="00AE0979"/>
    <w:rsid w:val="00AE209A"/>
    <w:rsid w:val="00AE2914"/>
    <w:rsid w:val="00AE6D15"/>
    <w:rsid w:val="00AF33DC"/>
    <w:rsid w:val="00B01DA8"/>
    <w:rsid w:val="00B04182"/>
    <w:rsid w:val="00B05833"/>
    <w:rsid w:val="00B07AE3"/>
    <w:rsid w:val="00B11430"/>
    <w:rsid w:val="00B12535"/>
    <w:rsid w:val="00B17243"/>
    <w:rsid w:val="00B303D8"/>
    <w:rsid w:val="00B33F05"/>
    <w:rsid w:val="00B34825"/>
    <w:rsid w:val="00B353EB"/>
    <w:rsid w:val="00B35833"/>
    <w:rsid w:val="00B439C4"/>
    <w:rsid w:val="00B4535E"/>
    <w:rsid w:val="00B45414"/>
    <w:rsid w:val="00B52A8C"/>
    <w:rsid w:val="00B61DB1"/>
    <w:rsid w:val="00B61FF2"/>
    <w:rsid w:val="00B636A8"/>
    <w:rsid w:val="00B65CE7"/>
    <w:rsid w:val="00B665C6"/>
    <w:rsid w:val="00B66C9A"/>
    <w:rsid w:val="00B70D5D"/>
    <w:rsid w:val="00B72576"/>
    <w:rsid w:val="00B736F8"/>
    <w:rsid w:val="00B80097"/>
    <w:rsid w:val="00B805AF"/>
    <w:rsid w:val="00B869EC"/>
    <w:rsid w:val="00B935A5"/>
    <w:rsid w:val="00B9397A"/>
    <w:rsid w:val="00B9633D"/>
    <w:rsid w:val="00B965B9"/>
    <w:rsid w:val="00BA2EBE"/>
    <w:rsid w:val="00BB0F28"/>
    <w:rsid w:val="00BB2A9F"/>
    <w:rsid w:val="00BB458A"/>
    <w:rsid w:val="00BB5A2B"/>
    <w:rsid w:val="00BC2D46"/>
    <w:rsid w:val="00BD00D3"/>
    <w:rsid w:val="00BD0B97"/>
    <w:rsid w:val="00BD1659"/>
    <w:rsid w:val="00BD3AA9"/>
    <w:rsid w:val="00BD414B"/>
    <w:rsid w:val="00BD4A18"/>
    <w:rsid w:val="00BD6DB2"/>
    <w:rsid w:val="00BE11CF"/>
    <w:rsid w:val="00BE1AAD"/>
    <w:rsid w:val="00BE21AB"/>
    <w:rsid w:val="00BE35B2"/>
    <w:rsid w:val="00BE55CB"/>
    <w:rsid w:val="00BF3E2C"/>
    <w:rsid w:val="00BF3F7B"/>
    <w:rsid w:val="00BF617A"/>
    <w:rsid w:val="00C0027C"/>
    <w:rsid w:val="00C0379D"/>
    <w:rsid w:val="00C03931"/>
    <w:rsid w:val="00C042AB"/>
    <w:rsid w:val="00C05FE3"/>
    <w:rsid w:val="00C128C7"/>
    <w:rsid w:val="00C2136D"/>
    <w:rsid w:val="00C214EE"/>
    <w:rsid w:val="00C2314B"/>
    <w:rsid w:val="00C24971"/>
    <w:rsid w:val="00C25322"/>
    <w:rsid w:val="00C26BE5"/>
    <w:rsid w:val="00C26E4D"/>
    <w:rsid w:val="00C27909"/>
    <w:rsid w:val="00C27B03"/>
    <w:rsid w:val="00C314E1"/>
    <w:rsid w:val="00C32C07"/>
    <w:rsid w:val="00C3436C"/>
    <w:rsid w:val="00C34397"/>
    <w:rsid w:val="00C37B9B"/>
    <w:rsid w:val="00C4095D"/>
    <w:rsid w:val="00C46FFC"/>
    <w:rsid w:val="00C57465"/>
    <w:rsid w:val="00C601D2"/>
    <w:rsid w:val="00C60EC8"/>
    <w:rsid w:val="00C65BCC"/>
    <w:rsid w:val="00C66970"/>
    <w:rsid w:val="00C72D53"/>
    <w:rsid w:val="00C738BB"/>
    <w:rsid w:val="00C85226"/>
    <w:rsid w:val="00C8691C"/>
    <w:rsid w:val="00C93EAF"/>
    <w:rsid w:val="00C96026"/>
    <w:rsid w:val="00CA168A"/>
    <w:rsid w:val="00CA2DBA"/>
    <w:rsid w:val="00CA357E"/>
    <w:rsid w:val="00CA3A45"/>
    <w:rsid w:val="00CA44F9"/>
    <w:rsid w:val="00CA4A69"/>
    <w:rsid w:val="00CB0632"/>
    <w:rsid w:val="00CB301C"/>
    <w:rsid w:val="00CB577C"/>
    <w:rsid w:val="00CB6E26"/>
    <w:rsid w:val="00CC3E0C"/>
    <w:rsid w:val="00CC579C"/>
    <w:rsid w:val="00CC58D3"/>
    <w:rsid w:val="00CC784D"/>
    <w:rsid w:val="00CD100E"/>
    <w:rsid w:val="00CD73F2"/>
    <w:rsid w:val="00CE53C6"/>
    <w:rsid w:val="00CF1A0D"/>
    <w:rsid w:val="00D00CA4"/>
    <w:rsid w:val="00D021FB"/>
    <w:rsid w:val="00D03332"/>
    <w:rsid w:val="00D0337B"/>
    <w:rsid w:val="00D05F4E"/>
    <w:rsid w:val="00D079B2"/>
    <w:rsid w:val="00D114E9"/>
    <w:rsid w:val="00D16F0D"/>
    <w:rsid w:val="00D21EA5"/>
    <w:rsid w:val="00D23601"/>
    <w:rsid w:val="00D3154A"/>
    <w:rsid w:val="00D33EEB"/>
    <w:rsid w:val="00D34345"/>
    <w:rsid w:val="00D429C6"/>
    <w:rsid w:val="00D4568F"/>
    <w:rsid w:val="00D46D64"/>
    <w:rsid w:val="00D47748"/>
    <w:rsid w:val="00D47F20"/>
    <w:rsid w:val="00D509EA"/>
    <w:rsid w:val="00D52C0C"/>
    <w:rsid w:val="00D54CC3"/>
    <w:rsid w:val="00D5505F"/>
    <w:rsid w:val="00D6041A"/>
    <w:rsid w:val="00D633EB"/>
    <w:rsid w:val="00D662D3"/>
    <w:rsid w:val="00D72333"/>
    <w:rsid w:val="00D82FF7"/>
    <w:rsid w:val="00D832C2"/>
    <w:rsid w:val="00D847FE"/>
    <w:rsid w:val="00D91397"/>
    <w:rsid w:val="00D9562D"/>
    <w:rsid w:val="00D964EA"/>
    <w:rsid w:val="00D966D0"/>
    <w:rsid w:val="00DA0C59"/>
    <w:rsid w:val="00DA3991"/>
    <w:rsid w:val="00DB037A"/>
    <w:rsid w:val="00DB605A"/>
    <w:rsid w:val="00DB7E6C"/>
    <w:rsid w:val="00DD32C9"/>
    <w:rsid w:val="00DD5A29"/>
    <w:rsid w:val="00DD5D9D"/>
    <w:rsid w:val="00DE0AF0"/>
    <w:rsid w:val="00DE35CB"/>
    <w:rsid w:val="00DE787C"/>
    <w:rsid w:val="00DF21E9"/>
    <w:rsid w:val="00E00F14"/>
    <w:rsid w:val="00E02458"/>
    <w:rsid w:val="00E06386"/>
    <w:rsid w:val="00E2049D"/>
    <w:rsid w:val="00E24EB4"/>
    <w:rsid w:val="00E320ED"/>
    <w:rsid w:val="00E339BA"/>
    <w:rsid w:val="00E33AFB"/>
    <w:rsid w:val="00E34218"/>
    <w:rsid w:val="00E34E8E"/>
    <w:rsid w:val="00E459CC"/>
    <w:rsid w:val="00E46282"/>
    <w:rsid w:val="00E51327"/>
    <w:rsid w:val="00E5216E"/>
    <w:rsid w:val="00E611DB"/>
    <w:rsid w:val="00E70ABD"/>
    <w:rsid w:val="00E8149A"/>
    <w:rsid w:val="00E82344"/>
    <w:rsid w:val="00E84C82"/>
    <w:rsid w:val="00E84D64"/>
    <w:rsid w:val="00E87408"/>
    <w:rsid w:val="00E914C4"/>
    <w:rsid w:val="00E934F5"/>
    <w:rsid w:val="00E96961"/>
    <w:rsid w:val="00EA72EC"/>
    <w:rsid w:val="00EB11CB"/>
    <w:rsid w:val="00EB275A"/>
    <w:rsid w:val="00EB5CDA"/>
    <w:rsid w:val="00EB786A"/>
    <w:rsid w:val="00EB79E7"/>
    <w:rsid w:val="00EC0210"/>
    <w:rsid w:val="00EC1578"/>
    <w:rsid w:val="00EC1C72"/>
    <w:rsid w:val="00EC3CC9"/>
    <w:rsid w:val="00EC5316"/>
    <w:rsid w:val="00EC5F93"/>
    <w:rsid w:val="00EC680A"/>
    <w:rsid w:val="00ED0DFA"/>
    <w:rsid w:val="00ED35A4"/>
    <w:rsid w:val="00ED3A2B"/>
    <w:rsid w:val="00ED5078"/>
    <w:rsid w:val="00ED699F"/>
    <w:rsid w:val="00EE2BED"/>
    <w:rsid w:val="00EE374B"/>
    <w:rsid w:val="00EE46AE"/>
    <w:rsid w:val="00EE6E2C"/>
    <w:rsid w:val="00EF42A6"/>
    <w:rsid w:val="00F11BB5"/>
    <w:rsid w:val="00F1417B"/>
    <w:rsid w:val="00F15363"/>
    <w:rsid w:val="00F1689B"/>
    <w:rsid w:val="00F169F2"/>
    <w:rsid w:val="00F3371B"/>
    <w:rsid w:val="00F34B99"/>
    <w:rsid w:val="00F378D0"/>
    <w:rsid w:val="00F4757E"/>
    <w:rsid w:val="00F52DAB"/>
    <w:rsid w:val="00F543F0"/>
    <w:rsid w:val="00F66E04"/>
    <w:rsid w:val="00F705DD"/>
    <w:rsid w:val="00F8078F"/>
    <w:rsid w:val="00F818A7"/>
    <w:rsid w:val="00F81D29"/>
    <w:rsid w:val="00F91C4D"/>
    <w:rsid w:val="00F92FD9"/>
    <w:rsid w:val="00FA0510"/>
    <w:rsid w:val="00FA29C5"/>
    <w:rsid w:val="00FA3EF5"/>
    <w:rsid w:val="00FA6113"/>
    <w:rsid w:val="00FA6684"/>
    <w:rsid w:val="00FA731E"/>
    <w:rsid w:val="00FB2B38"/>
    <w:rsid w:val="00FB5033"/>
    <w:rsid w:val="00FB768C"/>
    <w:rsid w:val="00FC3A3B"/>
    <w:rsid w:val="00FC6358"/>
    <w:rsid w:val="00FD1AF2"/>
    <w:rsid w:val="00FD320D"/>
    <w:rsid w:val="00FD3605"/>
    <w:rsid w:val="00FE23DE"/>
    <w:rsid w:val="01002498"/>
    <w:rsid w:val="011430C0"/>
    <w:rsid w:val="02096171"/>
    <w:rsid w:val="02155B4E"/>
    <w:rsid w:val="021B27F6"/>
    <w:rsid w:val="02A74CE7"/>
    <w:rsid w:val="030516AD"/>
    <w:rsid w:val="0397294E"/>
    <w:rsid w:val="03CA7EE2"/>
    <w:rsid w:val="03F434D0"/>
    <w:rsid w:val="05045994"/>
    <w:rsid w:val="0509738E"/>
    <w:rsid w:val="06E33486"/>
    <w:rsid w:val="072938BC"/>
    <w:rsid w:val="079C42F1"/>
    <w:rsid w:val="089B03BE"/>
    <w:rsid w:val="09763FE4"/>
    <w:rsid w:val="0AA7129C"/>
    <w:rsid w:val="0BEC4F0F"/>
    <w:rsid w:val="0C4F74F5"/>
    <w:rsid w:val="0CDA294D"/>
    <w:rsid w:val="0DAB10D0"/>
    <w:rsid w:val="0E1778A3"/>
    <w:rsid w:val="0EAA193B"/>
    <w:rsid w:val="0F4B48EC"/>
    <w:rsid w:val="0F6A26E7"/>
    <w:rsid w:val="0FCF7BC5"/>
    <w:rsid w:val="10612E51"/>
    <w:rsid w:val="11242651"/>
    <w:rsid w:val="114931E1"/>
    <w:rsid w:val="12BB6B70"/>
    <w:rsid w:val="13857CA0"/>
    <w:rsid w:val="13C513C5"/>
    <w:rsid w:val="142A18A2"/>
    <w:rsid w:val="147F45E5"/>
    <w:rsid w:val="14DC7D94"/>
    <w:rsid w:val="14DE1C42"/>
    <w:rsid w:val="154741BF"/>
    <w:rsid w:val="168E180C"/>
    <w:rsid w:val="186B09CA"/>
    <w:rsid w:val="19A43221"/>
    <w:rsid w:val="19A5109C"/>
    <w:rsid w:val="19B915F8"/>
    <w:rsid w:val="1B3A723A"/>
    <w:rsid w:val="1B8452D7"/>
    <w:rsid w:val="1F6F7F40"/>
    <w:rsid w:val="1FE20F7B"/>
    <w:rsid w:val="222C1EFD"/>
    <w:rsid w:val="236E69A3"/>
    <w:rsid w:val="24635DDC"/>
    <w:rsid w:val="249146F7"/>
    <w:rsid w:val="25CA1676"/>
    <w:rsid w:val="25F6309F"/>
    <w:rsid w:val="26432D02"/>
    <w:rsid w:val="27012A1C"/>
    <w:rsid w:val="274A7106"/>
    <w:rsid w:val="27D960A5"/>
    <w:rsid w:val="28441B47"/>
    <w:rsid w:val="29064234"/>
    <w:rsid w:val="2940493E"/>
    <w:rsid w:val="2A1452C3"/>
    <w:rsid w:val="2A574C09"/>
    <w:rsid w:val="2AF21D84"/>
    <w:rsid w:val="2C870BE6"/>
    <w:rsid w:val="2D6B2D3A"/>
    <w:rsid w:val="2E6B420B"/>
    <w:rsid w:val="308B46F0"/>
    <w:rsid w:val="326E6078"/>
    <w:rsid w:val="329F1D49"/>
    <w:rsid w:val="331B5584"/>
    <w:rsid w:val="36483084"/>
    <w:rsid w:val="37131FBA"/>
    <w:rsid w:val="37434788"/>
    <w:rsid w:val="376D01FB"/>
    <w:rsid w:val="37E4351D"/>
    <w:rsid w:val="37F12F74"/>
    <w:rsid w:val="392F17AB"/>
    <w:rsid w:val="39AE61E2"/>
    <w:rsid w:val="3A30564C"/>
    <w:rsid w:val="3A9C6B2F"/>
    <w:rsid w:val="3AB27D34"/>
    <w:rsid w:val="3BB423B5"/>
    <w:rsid w:val="3CA906B7"/>
    <w:rsid w:val="3CE712A2"/>
    <w:rsid w:val="3D3E1DDD"/>
    <w:rsid w:val="3E9B14F3"/>
    <w:rsid w:val="3F3715B3"/>
    <w:rsid w:val="3F3B6ABC"/>
    <w:rsid w:val="406665E0"/>
    <w:rsid w:val="411150BF"/>
    <w:rsid w:val="412F418E"/>
    <w:rsid w:val="41724502"/>
    <w:rsid w:val="421751BC"/>
    <w:rsid w:val="42C41CE4"/>
    <w:rsid w:val="430C6778"/>
    <w:rsid w:val="458336CE"/>
    <w:rsid w:val="46591B10"/>
    <w:rsid w:val="46F9684D"/>
    <w:rsid w:val="483D056E"/>
    <w:rsid w:val="48610A5F"/>
    <w:rsid w:val="49447842"/>
    <w:rsid w:val="49DA4CA3"/>
    <w:rsid w:val="4A066551"/>
    <w:rsid w:val="4A90661B"/>
    <w:rsid w:val="4AA77D0E"/>
    <w:rsid w:val="4AD77C59"/>
    <w:rsid w:val="4ADC2772"/>
    <w:rsid w:val="4B432DC8"/>
    <w:rsid w:val="4C215AB1"/>
    <w:rsid w:val="4D0478AD"/>
    <w:rsid w:val="4E873D5D"/>
    <w:rsid w:val="4E997E75"/>
    <w:rsid w:val="4EC217CD"/>
    <w:rsid w:val="4FF5172F"/>
    <w:rsid w:val="503A35E5"/>
    <w:rsid w:val="51535DC3"/>
    <w:rsid w:val="519E5272"/>
    <w:rsid w:val="51C61425"/>
    <w:rsid w:val="51FA127E"/>
    <w:rsid w:val="538E19D3"/>
    <w:rsid w:val="53B8319F"/>
    <w:rsid w:val="5475496B"/>
    <w:rsid w:val="54893677"/>
    <w:rsid w:val="54EE7959"/>
    <w:rsid w:val="56C454DF"/>
    <w:rsid w:val="570C2BBF"/>
    <w:rsid w:val="570C6B15"/>
    <w:rsid w:val="57587866"/>
    <w:rsid w:val="579932E7"/>
    <w:rsid w:val="58692CBA"/>
    <w:rsid w:val="58847AF3"/>
    <w:rsid w:val="59D376A6"/>
    <w:rsid w:val="5A3F0F94"/>
    <w:rsid w:val="5A5201CF"/>
    <w:rsid w:val="5AA64C49"/>
    <w:rsid w:val="5AA95FD6"/>
    <w:rsid w:val="5AD60B6B"/>
    <w:rsid w:val="5B5C2F71"/>
    <w:rsid w:val="5C104266"/>
    <w:rsid w:val="5C533830"/>
    <w:rsid w:val="5D2D4D36"/>
    <w:rsid w:val="5E69593F"/>
    <w:rsid w:val="5E732FCB"/>
    <w:rsid w:val="5ED6097D"/>
    <w:rsid w:val="5F359327"/>
    <w:rsid w:val="5F8C681E"/>
    <w:rsid w:val="5FDED18A"/>
    <w:rsid w:val="5FE64BF0"/>
    <w:rsid w:val="60A70F41"/>
    <w:rsid w:val="60E11753"/>
    <w:rsid w:val="615838CB"/>
    <w:rsid w:val="62922E0D"/>
    <w:rsid w:val="629633D0"/>
    <w:rsid w:val="62D41677"/>
    <w:rsid w:val="632D4257"/>
    <w:rsid w:val="650C0660"/>
    <w:rsid w:val="662D17CA"/>
    <w:rsid w:val="69561384"/>
    <w:rsid w:val="696E5FDC"/>
    <w:rsid w:val="6AAB2FF8"/>
    <w:rsid w:val="6BA73DCD"/>
    <w:rsid w:val="6D2E2D8D"/>
    <w:rsid w:val="6DBD61CD"/>
    <w:rsid w:val="6EDF2BAA"/>
    <w:rsid w:val="6F3B11B2"/>
    <w:rsid w:val="6FBFACFA"/>
    <w:rsid w:val="6FCD67AC"/>
    <w:rsid w:val="718616F7"/>
    <w:rsid w:val="723E7657"/>
    <w:rsid w:val="727D476A"/>
    <w:rsid w:val="727F480A"/>
    <w:rsid w:val="742F55CF"/>
    <w:rsid w:val="74401F7F"/>
    <w:rsid w:val="752F2A71"/>
    <w:rsid w:val="758515FA"/>
    <w:rsid w:val="76CD220E"/>
    <w:rsid w:val="776370C9"/>
    <w:rsid w:val="77D61D22"/>
    <w:rsid w:val="78F732C4"/>
    <w:rsid w:val="798F2191"/>
    <w:rsid w:val="7A480DB1"/>
    <w:rsid w:val="7A7F0D68"/>
    <w:rsid w:val="7F9B4357"/>
    <w:rsid w:val="7FFA0518"/>
    <w:rsid w:val="ADBB5135"/>
    <w:rsid w:val="AFEFC3FA"/>
    <w:rsid w:val="E7C70EAB"/>
    <w:rsid w:val="EEB7EA06"/>
    <w:rsid w:val="FFDFC168"/>
    <w:rsid w:val="FFF719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lang w:val="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2"/>
      </w:tabs>
      <w:ind w:firstLine="1050"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148"/>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qFormat/>
    <w:uiPriority w:val="0"/>
    <w:pPr>
      <w:spacing w:after="120"/>
    </w:p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2"/>
      </w:tabs>
      <w:ind w:firstLine="630" w:firstLineChars="300"/>
      <w:jc w:val="left"/>
    </w:pPr>
    <w:rPr>
      <w:rFonts w:ascii="宋体"/>
      <w:szCs w:val="21"/>
    </w:rPr>
  </w:style>
  <w:style w:type="paragraph" w:styleId="16">
    <w:name w:val="toc 3"/>
    <w:basedOn w:val="1"/>
    <w:next w:val="1"/>
    <w:qFormat/>
    <w:uiPriority w:val="39"/>
    <w:pPr>
      <w:tabs>
        <w:tab w:val="right" w:leader="dot" w:pos="9242"/>
      </w:tabs>
      <w:ind w:firstLine="210" w:firstLineChars="100"/>
      <w:jc w:val="left"/>
    </w:pPr>
    <w:rPr>
      <w:rFonts w:ascii="宋体"/>
      <w:szCs w:val="21"/>
    </w:rPr>
  </w:style>
  <w:style w:type="paragraph" w:styleId="17">
    <w:name w:val="Plain Text"/>
    <w:basedOn w:val="1"/>
    <w:qFormat/>
    <w:uiPriority w:val="0"/>
    <w:rPr>
      <w:rFonts w:ascii="宋体" w:hAnsi="Courier New" w:cs="Courier New"/>
      <w:szCs w:val="21"/>
    </w:rPr>
  </w:style>
  <w:style w:type="paragraph" w:styleId="18">
    <w:name w:val="toc 8"/>
    <w:basedOn w:val="1"/>
    <w:next w:val="1"/>
    <w:semiHidden/>
    <w:qFormat/>
    <w:uiPriority w:val="0"/>
    <w:pPr>
      <w:tabs>
        <w:tab w:val="right" w:leader="dot" w:pos="9242"/>
      </w:tabs>
      <w:ind w:firstLine="1260"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endnote text"/>
    <w:basedOn w:val="1"/>
    <w:semiHidden/>
    <w:qFormat/>
    <w:uiPriority w:val="0"/>
    <w:pPr>
      <w:snapToGrid w:val="0"/>
      <w:jc w:val="left"/>
    </w:pPr>
  </w:style>
  <w:style w:type="paragraph" w:styleId="21">
    <w:name w:val="footer"/>
    <w:basedOn w:val="1"/>
    <w:link w:val="51"/>
    <w:qFormat/>
    <w:uiPriority w:val="99"/>
    <w:pPr>
      <w:snapToGrid w:val="0"/>
      <w:ind w:right="210" w:rightChars="100"/>
      <w:jc w:val="right"/>
    </w:pPr>
    <w:rPr>
      <w:sz w:val="18"/>
      <w:szCs w:val="18"/>
      <w:lang w:val="zh-CN"/>
    </w:rPr>
  </w:style>
  <w:style w:type="paragraph" w:styleId="22">
    <w:name w:val="header"/>
    <w:basedOn w:val="1"/>
    <w:qFormat/>
    <w:uiPriority w:val="0"/>
    <w:pPr>
      <w:snapToGrid w:val="0"/>
      <w:jc w:val="left"/>
    </w:pPr>
    <w:rPr>
      <w:sz w:val="18"/>
      <w:szCs w:val="18"/>
    </w:rPr>
  </w:style>
  <w:style w:type="paragraph" w:styleId="23">
    <w:name w:val="toc 1"/>
    <w:basedOn w:val="1"/>
    <w:next w:val="1"/>
    <w:qFormat/>
    <w:uiPriority w:val="39"/>
    <w:pPr>
      <w:tabs>
        <w:tab w:val="right" w:leader="dot" w:pos="9242"/>
      </w:tabs>
      <w:spacing w:before="79" w:beforeLines="25" w:after="79" w:afterLines="25"/>
      <w:jc w:val="left"/>
    </w:pPr>
    <w:rPr>
      <w:rFonts w:ascii="宋体"/>
      <w:szCs w:val="21"/>
    </w:rPr>
  </w:style>
  <w:style w:type="paragraph" w:styleId="24">
    <w:name w:val="toc 4"/>
    <w:basedOn w:val="1"/>
    <w:next w:val="1"/>
    <w:semiHidden/>
    <w:qFormat/>
    <w:uiPriority w:val="0"/>
    <w:pPr>
      <w:tabs>
        <w:tab w:val="right" w:leader="dot" w:pos="9242"/>
      </w:tabs>
      <w:ind w:firstLine="420"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47"/>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1"/>
      </w:numPr>
      <w:snapToGrid w:val="0"/>
      <w:jc w:val="left"/>
    </w:pPr>
    <w:rPr>
      <w:rFonts w:ascii="宋体"/>
      <w:sz w:val="18"/>
      <w:szCs w:val="18"/>
    </w:rPr>
  </w:style>
  <w:style w:type="paragraph" w:styleId="29">
    <w:name w:val="toc 6"/>
    <w:basedOn w:val="1"/>
    <w:next w:val="1"/>
    <w:semiHidden/>
    <w:qFormat/>
    <w:uiPriority w:val="0"/>
    <w:pPr>
      <w:tabs>
        <w:tab w:val="right" w:leader="dot" w:pos="9242"/>
      </w:tabs>
      <w:ind w:firstLine="840" w:firstLineChars="400"/>
      <w:jc w:val="left"/>
    </w:pPr>
    <w:rPr>
      <w:rFonts w:ascii="宋体"/>
      <w:szCs w:val="21"/>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tabs>
        <w:tab w:val="right" w:leader="dot" w:pos="9242"/>
      </w:tabs>
    </w:pPr>
    <w:rPr>
      <w:rFonts w:ascii="宋体"/>
      <w:szCs w:val="21"/>
    </w:rPr>
  </w:style>
  <w:style w:type="paragraph" w:styleId="33">
    <w:name w:val="toc 9"/>
    <w:basedOn w:val="1"/>
    <w:next w:val="1"/>
    <w:semiHidden/>
    <w:qFormat/>
    <w:uiPriority w:val="0"/>
    <w:pPr>
      <w:ind w:left="1470"/>
      <w:jc w:val="left"/>
    </w:pPr>
    <w:rPr>
      <w:sz w:val="20"/>
      <w:szCs w:val="20"/>
    </w:rPr>
  </w:style>
  <w:style w:type="paragraph" w:styleId="3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5">
    <w:name w:val="index 2"/>
    <w:basedOn w:val="1"/>
    <w:next w:val="1"/>
    <w:qFormat/>
    <w:uiPriority w:val="0"/>
    <w:pPr>
      <w:ind w:left="420" w:hanging="210"/>
      <w:jc w:val="left"/>
    </w:pPr>
    <w:rPr>
      <w:rFonts w:ascii="Calibri" w:hAnsi="Calibri"/>
      <w:sz w:val="20"/>
      <w:szCs w:val="20"/>
    </w:rPr>
  </w:style>
  <w:style w:type="paragraph" w:styleId="36">
    <w:name w:val="Body Text First Indent"/>
    <w:basedOn w:val="13"/>
    <w:link w:val="53"/>
    <w:qFormat/>
    <w:uiPriority w:val="0"/>
    <w:pPr>
      <w:tabs>
        <w:tab w:val="left" w:pos="2400"/>
      </w:tabs>
      <w:adjustRightInd w:val="0"/>
      <w:spacing w:after="0"/>
      <w:textAlignment w:val="baseline"/>
    </w:pPr>
    <w:rPr>
      <w:szCs w:val="21"/>
      <w:lang w:val="zh-CN"/>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0"/>
    <w:rPr>
      <w:b/>
    </w:r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0"/>
    <w:rPr>
      <w:color w:val="800080"/>
      <w:u w:val="single"/>
    </w:rPr>
  </w:style>
  <w:style w:type="character" w:styleId="44">
    <w:name w:val="Hyperlink"/>
    <w:qFormat/>
    <w:uiPriority w:val="99"/>
    <w:rPr>
      <w:color w:val="0000FF"/>
      <w:spacing w:val="0"/>
      <w:w w:val="100"/>
      <w:szCs w:val="21"/>
      <w:u w:val="single"/>
      <w:lang w:val="en-US" w:eastAsia="zh-CN"/>
    </w:rPr>
  </w:style>
  <w:style w:type="character" w:styleId="45">
    <w:name w:val="annotation reference"/>
    <w:qFormat/>
    <w:uiPriority w:val="0"/>
    <w:rPr>
      <w:sz w:val="21"/>
      <w:szCs w:val="21"/>
    </w:rPr>
  </w:style>
  <w:style w:type="character" w:styleId="46">
    <w:name w:val="footnote reference"/>
    <w:semiHidden/>
    <w:qFormat/>
    <w:uiPriority w:val="0"/>
    <w:rPr>
      <w:vertAlign w:val="superscript"/>
    </w:rPr>
  </w:style>
  <w:style w:type="character" w:customStyle="1" w:styleId="47">
    <w:name w:val="段 Char"/>
    <w:link w:val="27"/>
    <w:qFormat/>
    <w:uiPriority w:val="99"/>
    <w:rPr>
      <w:rFonts w:ascii="宋体"/>
      <w:sz w:val="21"/>
      <w:lang w:val="en-US" w:eastAsia="zh-CN" w:bidi="ar-SA"/>
    </w:rPr>
  </w:style>
  <w:style w:type="character" w:customStyle="1" w:styleId="48">
    <w:name w:val="附录公式 Char"/>
    <w:link w:val="49"/>
    <w:qFormat/>
    <w:uiPriority w:val="0"/>
    <w:rPr>
      <w:rFonts w:ascii="宋体"/>
      <w:sz w:val="21"/>
      <w:lang w:val="en-US" w:eastAsia="zh-CN" w:bidi="ar-SA"/>
    </w:rPr>
  </w:style>
  <w:style w:type="paragraph" w:customStyle="1" w:styleId="49">
    <w:name w:val="附录公式"/>
    <w:basedOn w:val="27"/>
    <w:next w:val="27"/>
    <w:link w:val="48"/>
    <w:qFormat/>
    <w:uiPriority w:val="0"/>
  </w:style>
  <w:style w:type="character" w:customStyle="1" w:styleId="50">
    <w:name w:val="发布"/>
    <w:qFormat/>
    <w:uiPriority w:val="0"/>
    <w:rPr>
      <w:rFonts w:ascii="黑体" w:eastAsia="黑体"/>
      <w:spacing w:val="85"/>
      <w:w w:val="100"/>
      <w:position w:val="3"/>
      <w:sz w:val="28"/>
      <w:szCs w:val="28"/>
    </w:rPr>
  </w:style>
  <w:style w:type="character" w:customStyle="1" w:styleId="51">
    <w:name w:val="页脚 字符"/>
    <w:link w:val="21"/>
    <w:qFormat/>
    <w:uiPriority w:val="99"/>
    <w:rPr>
      <w:kern w:val="2"/>
      <w:sz w:val="18"/>
      <w:szCs w:val="18"/>
    </w:rPr>
  </w:style>
  <w:style w:type="character" w:customStyle="1" w:styleId="52">
    <w:name w:val="标题 1 字符"/>
    <w:link w:val="2"/>
    <w:qFormat/>
    <w:uiPriority w:val="0"/>
    <w:rPr>
      <w:b/>
      <w:bCs/>
      <w:kern w:val="44"/>
      <w:sz w:val="44"/>
      <w:szCs w:val="44"/>
    </w:rPr>
  </w:style>
  <w:style w:type="character" w:customStyle="1" w:styleId="53">
    <w:name w:val="正文文本首行缩进 字符"/>
    <w:link w:val="36"/>
    <w:qFormat/>
    <w:uiPriority w:val="0"/>
    <w:rPr>
      <w:rFonts w:eastAsia="宋体"/>
      <w:kern w:val="2"/>
      <w:sz w:val="21"/>
      <w:szCs w:val="21"/>
      <w:lang w:bidi="ar-SA"/>
    </w:rPr>
  </w:style>
  <w:style w:type="character" w:customStyle="1" w:styleId="54">
    <w:name w:val="首示例 Char"/>
    <w:link w:val="55"/>
    <w:qFormat/>
    <w:uiPriority w:val="0"/>
    <w:rPr>
      <w:rFonts w:ascii="宋体" w:hAnsi="宋体"/>
      <w:kern w:val="2"/>
      <w:sz w:val="18"/>
      <w:szCs w:val="18"/>
      <w:lang w:val="en-US" w:eastAsia="zh-CN" w:bidi="ar-SA"/>
    </w:rPr>
  </w:style>
  <w:style w:type="paragraph" w:customStyle="1" w:styleId="55">
    <w:name w:val="首示例"/>
    <w:next w:val="27"/>
    <w:link w:val="54"/>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56">
    <w:name w:val="章标题"/>
    <w:next w:val="27"/>
    <w:qFormat/>
    <w:uiPriority w:val="99"/>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7">
    <w:name w:val="封面标准名称2"/>
    <w:basedOn w:val="58"/>
    <w:qFormat/>
    <w:uiPriority w:val="0"/>
    <w:pPr>
      <w:framePr w:wrap="around" w:y="4469"/>
      <w:spacing w:before="630" w:beforeLines="630"/>
    </w:pPr>
  </w:style>
  <w:style w:type="paragraph" w:customStyle="1" w:styleId="5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9">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0">
    <w:name w:val="封面标准文稿编辑信息"/>
    <w:basedOn w:val="61"/>
    <w:qFormat/>
    <w:uiPriority w:val="0"/>
    <w:pPr>
      <w:framePr w:wrap="around"/>
      <w:spacing w:before="180" w:line="180" w:lineRule="exact"/>
    </w:pPr>
    <w:rPr>
      <w:sz w:val="21"/>
    </w:rPr>
  </w:style>
  <w:style w:type="paragraph" w:customStyle="1" w:styleId="61">
    <w:name w:val="封面标准文稿类别"/>
    <w:basedOn w:val="62"/>
    <w:qFormat/>
    <w:uiPriority w:val="0"/>
    <w:pPr>
      <w:framePr w:wrap="around"/>
      <w:spacing w:after="160" w:line="240" w:lineRule="auto"/>
    </w:pPr>
    <w:rPr>
      <w:sz w:val="24"/>
    </w:rPr>
  </w:style>
  <w:style w:type="paragraph" w:customStyle="1" w:styleId="62">
    <w:name w:val="封面一致性程度标识"/>
    <w:basedOn w:val="63"/>
    <w:qFormat/>
    <w:uiPriority w:val="0"/>
    <w:pPr>
      <w:framePr w:wrap="around"/>
      <w:spacing w:before="440"/>
    </w:pPr>
    <w:rPr>
      <w:rFonts w:ascii="宋体" w:eastAsia="宋体"/>
    </w:rPr>
  </w:style>
  <w:style w:type="paragraph" w:customStyle="1" w:styleId="63">
    <w:name w:val="封面标准英文名称"/>
    <w:basedOn w:val="58"/>
    <w:qFormat/>
    <w:uiPriority w:val="0"/>
    <w:pPr>
      <w:framePr w:wrap="around"/>
      <w:spacing w:before="370" w:line="400" w:lineRule="exact"/>
    </w:pPr>
    <w:rPr>
      <w:rFonts w:ascii="Times New Roman"/>
      <w:sz w:val="28"/>
      <w:szCs w:val="28"/>
    </w:rPr>
  </w:style>
  <w:style w:type="paragraph" w:customStyle="1" w:styleId="64">
    <w:name w:val="其他标准标志"/>
    <w:basedOn w:val="65"/>
    <w:qFormat/>
    <w:uiPriority w:val="0"/>
    <w:pPr>
      <w:framePr w:w="6101" w:wrap="around" w:vAnchor="page" w:hAnchor="page" w:x="4673" w:y="942"/>
    </w:pPr>
    <w:rPr>
      <w:w w:val="130"/>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图标脚注说明"/>
    <w:basedOn w:val="27"/>
    <w:qFormat/>
    <w:uiPriority w:val="0"/>
    <w:pPr>
      <w:ind w:left="840" w:hanging="420" w:firstLineChars="0"/>
    </w:pPr>
    <w:rPr>
      <w:sz w:val="18"/>
      <w:szCs w:val="18"/>
    </w:rPr>
  </w:style>
  <w:style w:type="paragraph" w:customStyle="1" w:styleId="67">
    <w:name w:val="附录标识"/>
    <w:basedOn w:val="1"/>
    <w:next w:val="27"/>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8">
    <w:name w:val="附录三级条标题"/>
    <w:basedOn w:val="69"/>
    <w:next w:val="27"/>
    <w:qFormat/>
    <w:uiPriority w:val="0"/>
    <w:pPr>
      <w:tabs>
        <w:tab w:val="left" w:pos="360"/>
      </w:tabs>
      <w:outlineLvl w:val="4"/>
    </w:pPr>
  </w:style>
  <w:style w:type="paragraph" w:customStyle="1" w:styleId="69">
    <w:name w:val="附录二级条标题"/>
    <w:basedOn w:val="1"/>
    <w:next w:val="27"/>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0">
    <w:name w:val="标准书眉_偶数页"/>
    <w:basedOn w:val="71"/>
    <w:next w:val="1"/>
    <w:qFormat/>
    <w:uiPriority w:val="0"/>
    <w:pPr>
      <w:tabs>
        <w:tab w:val="center" w:pos="4154"/>
        <w:tab w:val="right" w:pos="8306"/>
      </w:tabs>
      <w:jc w:val="left"/>
    </w:pPr>
  </w:style>
  <w:style w:type="paragraph" w:customStyle="1" w:styleId="7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2">
    <w:name w:val="附录三级无"/>
    <w:basedOn w:val="68"/>
    <w:qFormat/>
    <w:uiPriority w:val="0"/>
    <w:pPr>
      <w:tabs>
        <w:tab w:val="clear" w:pos="360"/>
      </w:tabs>
      <w:spacing w:before="0" w:beforeLines="0" w:after="0" w:afterLines="0"/>
    </w:pPr>
    <w:rPr>
      <w:rFonts w:ascii="宋体" w:eastAsia="宋体"/>
      <w:szCs w:val="21"/>
    </w:rPr>
  </w:style>
  <w:style w:type="paragraph" w:customStyle="1" w:styleId="73">
    <w:name w:val="注："/>
    <w:next w:val="27"/>
    <w:link w:val="159"/>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74">
    <w:name w:val="实施日期"/>
    <w:basedOn w:val="75"/>
    <w:qFormat/>
    <w:uiPriority w:val="0"/>
    <w:pPr>
      <w:framePr w:wrap="around" w:vAnchor="page" w:hAnchor="text"/>
      <w:jc w:val="right"/>
    </w:pPr>
  </w:style>
  <w:style w:type="paragraph" w:customStyle="1" w:styleId="7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附录二级无"/>
    <w:basedOn w:val="69"/>
    <w:qFormat/>
    <w:uiPriority w:val="0"/>
    <w:pPr>
      <w:tabs>
        <w:tab w:val="clear" w:pos="360"/>
      </w:tabs>
      <w:spacing w:before="0" w:beforeLines="0" w:after="0" w:afterLines="0"/>
    </w:pPr>
    <w:rPr>
      <w:rFonts w:ascii="宋体" w:eastAsia="宋体"/>
      <w:szCs w:val="21"/>
    </w:rPr>
  </w:style>
  <w:style w:type="paragraph" w:customStyle="1" w:styleId="7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8">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79">
    <w:name w:val="四级无"/>
    <w:basedOn w:val="80"/>
    <w:qFormat/>
    <w:uiPriority w:val="0"/>
    <w:pPr>
      <w:spacing w:before="0" w:beforeLines="0" w:after="0" w:afterLines="0"/>
    </w:pPr>
    <w:rPr>
      <w:rFonts w:ascii="宋体" w:eastAsia="宋体"/>
    </w:rPr>
  </w:style>
  <w:style w:type="paragraph" w:customStyle="1" w:styleId="80">
    <w:name w:val="四级条标题"/>
    <w:basedOn w:val="81"/>
    <w:next w:val="27"/>
    <w:qFormat/>
    <w:uiPriority w:val="0"/>
    <w:pPr>
      <w:numPr>
        <w:ilvl w:val="0"/>
        <w:numId w:val="0"/>
      </w:numPr>
      <w:outlineLvl w:val="5"/>
    </w:pPr>
  </w:style>
  <w:style w:type="paragraph" w:customStyle="1" w:styleId="81">
    <w:name w:val="三级条标题"/>
    <w:basedOn w:val="82"/>
    <w:next w:val="27"/>
    <w:qFormat/>
    <w:uiPriority w:val="0"/>
    <w:pPr>
      <w:numPr>
        <w:ilvl w:val="3"/>
      </w:numPr>
      <w:outlineLvl w:val="4"/>
    </w:pPr>
  </w:style>
  <w:style w:type="paragraph" w:customStyle="1" w:styleId="82">
    <w:name w:val="二级条标题"/>
    <w:basedOn w:val="83"/>
    <w:next w:val="27"/>
    <w:qFormat/>
    <w:uiPriority w:val="0"/>
    <w:pPr>
      <w:numPr>
        <w:ilvl w:val="2"/>
      </w:numPr>
      <w:spacing w:before="50" w:after="50"/>
      <w:outlineLvl w:val="3"/>
    </w:pPr>
  </w:style>
  <w:style w:type="paragraph" w:customStyle="1" w:styleId="83">
    <w:name w:val="一级条标题"/>
    <w:next w:val="27"/>
    <w:link w:val="154"/>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6">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87">
    <w:name w:val="附录章标题"/>
    <w:next w:val="27"/>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89">
    <w:name w:val="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9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91">
    <w:name w:val="附录五级条标题"/>
    <w:basedOn w:val="92"/>
    <w:next w:val="27"/>
    <w:qFormat/>
    <w:uiPriority w:val="0"/>
    <w:pPr>
      <w:tabs>
        <w:tab w:val="left" w:pos="360"/>
      </w:tabs>
      <w:outlineLvl w:val="6"/>
    </w:pPr>
  </w:style>
  <w:style w:type="paragraph" w:customStyle="1" w:styleId="92">
    <w:name w:val="附录四级条标题"/>
    <w:basedOn w:val="68"/>
    <w:next w:val="27"/>
    <w:qFormat/>
    <w:uiPriority w:val="0"/>
    <w:pPr>
      <w:outlineLvl w:val="5"/>
    </w:pPr>
  </w:style>
  <w:style w:type="paragraph" w:customStyle="1" w:styleId="93">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94">
    <w:name w:val="正文文本 (4)"/>
    <w:basedOn w:val="1"/>
    <w:qFormat/>
    <w:uiPriority w:val="0"/>
    <w:pPr>
      <w:shd w:val="clear" w:color="auto" w:fill="FFFFFF"/>
      <w:spacing w:before="660" w:after="240" w:line="240" w:lineRule="atLeast"/>
      <w:ind w:hanging="400"/>
      <w:jc w:val="left"/>
    </w:pPr>
    <w:rPr>
      <w:rFonts w:ascii="MingLiU" w:hAnsi="MingLiU" w:eastAsia="MingLiU"/>
      <w:b/>
      <w:bCs/>
      <w:kern w:val="0"/>
      <w:sz w:val="20"/>
      <w:szCs w:val="20"/>
      <w:shd w:val="clear" w:color="auto" w:fill="FFFFFF"/>
    </w:rPr>
  </w:style>
  <w:style w:type="paragraph" w:customStyle="1" w:styleId="9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7">
    <w:name w:val="封面一致性程度标识2"/>
    <w:basedOn w:val="62"/>
    <w:qFormat/>
    <w:uiPriority w:val="0"/>
    <w:pPr>
      <w:framePr w:wrap="around" w:y="4469"/>
    </w:pPr>
  </w:style>
  <w:style w:type="paragraph" w:customStyle="1" w:styleId="98">
    <w:name w:val="一级无"/>
    <w:basedOn w:val="83"/>
    <w:qFormat/>
    <w:uiPriority w:val="0"/>
    <w:pPr>
      <w:spacing w:before="0" w:beforeLines="0" w:after="0" w:afterLines="0"/>
    </w:pPr>
    <w:rPr>
      <w:rFonts w:ascii="宋体" w:eastAsia="宋体"/>
    </w:rPr>
  </w:style>
  <w:style w:type="paragraph" w:customStyle="1" w:styleId="99">
    <w:name w:val="条文脚注"/>
    <w:basedOn w:val="28"/>
    <w:qFormat/>
    <w:uiPriority w:val="0"/>
    <w:pPr>
      <w:numPr>
        <w:numId w:val="0"/>
      </w:numPr>
      <w:jc w:val="both"/>
    </w:pPr>
  </w:style>
  <w:style w:type="paragraph" w:customStyle="1" w:styleId="100">
    <w:name w:val="注：（正文）"/>
    <w:basedOn w:val="73"/>
    <w:next w:val="27"/>
    <w:qFormat/>
    <w:uiPriority w:val="0"/>
  </w:style>
  <w:style w:type="paragraph" w:customStyle="1" w:styleId="101">
    <w:name w:val="终结线"/>
    <w:basedOn w:val="1"/>
    <w:qFormat/>
    <w:uiPriority w:val="0"/>
    <w:pPr>
      <w:framePr w:hSpace="181" w:vSpace="181" w:wrap="around" w:vAnchor="text" w:hAnchor="margin" w:xAlign="center" w:y="285"/>
    </w:pPr>
  </w:style>
  <w:style w:type="paragraph" w:customStyle="1" w:styleId="102">
    <w:name w:val="示例后文字"/>
    <w:basedOn w:val="27"/>
    <w:next w:val="27"/>
    <w:qFormat/>
    <w:uiPriority w:val="0"/>
    <w:pPr>
      <w:ind w:firstLine="360"/>
    </w:pPr>
    <w:rPr>
      <w:sz w:val="18"/>
    </w:rPr>
  </w:style>
  <w:style w:type="paragraph" w:customStyle="1" w:styleId="103">
    <w:name w:val="列项◆（三级）"/>
    <w:basedOn w:val="1"/>
    <w:qFormat/>
    <w:uiPriority w:val="0"/>
    <w:pPr>
      <w:numPr>
        <w:ilvl w:val="2"/>
        <w:numId w:val="7"/>
      </w:numPr>
    </w:pPr>
    <w:rPr>
      <w:rFonts w:ascii="宋体"/>
      <w:szCs w:val="21"/>
    </w:rPr>
  </w:style>
  <w:style w:type="paragraph" w:customStyle="1" w:styleId="104">
    <w:name w:val="附录五级无"/>
    <w:basedOn w:val="91"/>
    <w:qFormat/>
    <w:uiPriority w:val="0"/>
    <w:pPr>
      <w:tabs>
        <w:tab w:val="clear" w:pos="360"/>
      </w:tabs>
      <w:spacing w:before="0" w:beforeLines="0" w:after="0" w:afterLines="0"/>
    </w:pPr>
    <w:rPr>
      <w:rFonts w:ascii="宋体" w:eastAsia="宋体"/>
      <w:szCs w:val="21"/>
    </w:rPr>
  </w:style>
  <w:style w:type="paragraph" w:customStyle="1" w:styleId="105">
    <w:name w:val="五级条标题"/>
    <w:basedOn w:val="80"/>
    <w:next w:val="27"/>
    <w:qFormat/>
    <w:uiPriority w:val="0"/>
    <w:pPr>
      <w:numPr>
        <w:ilvl w:val="5"/>
      </w:numPr>
      <w:outlineLvl w:val="6"/>
    </w:p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正文表标题"/>
    <w:next w:val="27"/>
    <w:qFormat/>
    <w:uiPriority w:val="0"/>
    <w:pPr>
      <w:numPr>
        <w:ilvl w:val="0"/>
        <w:numId w:val="10"/>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0">
    <w:name w:val="示例"/>
    <w:next w:val="111"/>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11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2">
    <w:name w:val="附录标题"/>
    <w:basedOn w:val="27"/>
    <w:next w:val="27"/>
    <w:qFormat/>
    <w:uiPriority w:val="0"/>
    <w:pPr>
      <w:ind w:firstLine="0" w:firstLineChars="0"/>
      <w:jc w:val="center"/>
    </w:pPr>
    <w:rPr>
      <w:rFonts w:ascii="黑体" w:eastAsia="黑体"/>
    </w:rPr>
  </w:style>
  <w:style w:type="paragraph" w:customStyle="1" w:styleId="113">
    <w:name w:val="附录四级无"/>
    <w:basedOn w:val="92"/>
    <w:link w:val="153"/>
    <w:qFormat/>
    <w:uiPriority w:val="0"/>
    <w:pPr>
      <w:tabs>
        <w:tab w:val="clear" w:pos="360"/>
      </w:tabs>
      <w:spacing w:before="0" w:beforeLines="0" w:after="0" w:afterLines="0"/>
    </w:pPr>
    <w:rPr>
      <w:rFonts w:ascii="宋体" w:eastAsia="宋体"/>
      <w:szCs w:val="21"/>
    </w:rPr>
  </w:style>
  <w:style w:type="paragraph" w:customStyle="1" w:styleId="114">
    <w:name w:val="图表脚注说明"/>
    <w:basedOn w:val="1"/>
    <w:qFormat/>
    <w:uiPriority w:val="0"/>
    <w:pPr>
      <w:numPr>
        <w:ilvl w:val="0"/>
        <w:numId w:val="12"/>
      </w:numPr>
    </w:pPr>
    <w:rPr>
      <w:rFonts w:ascii="宋体"/>
      <w:sz w:val="18"/>
      <w:szCs w:val="18"/>
    </w:rPr>
  </w:style>
  <w:style w:type="paragraph" w:customStyle="1" w:styleId="115">
    <w:name w:val="正文公式编号制表符"/>
    <w:basedOn w:val="27"/>
    <w:next w:val="27"/>
    <w:qFormat/>
    <w:uiPriority w:val="0"/>
    <w:pPr>
      <w:ind w:firstLine="0" w:firstLineChars="0"/>
    </w:pPr>
  </w:style>
  <w:style w:type="paragraph" w:customStyle="1" w:styleId="116">
    <w:name w:val="封面标准文稿编辑信息2"/>
    <w:basedOn w:val="60"/>
    <w:qFormat/>
    <w:uiPriority w:val="0"/>
    <w:pPr>
      <w:framePr w:wrap="around" w:y="4469"/>
    </w:pPr>
  </w:style>
  <w:style w:type="paragraph" w:customStyle="1" w:styleId="117">
    <w:name w:val="五级无"/>
    <w:basedOn w:val="105"/>
    <w:qFormat/>
    <w:uiPriority w:val="0"/>
    <w:pPr>
      <w:spacing w:before="0" w:beforeLines="0" w:after="0" w:afterLines="0"/>
    </w:pPr>
    <w:rPr>
      <w:rFonts w:ascii="宋体" w:eastAsia="宋体"/>
    </w:rPr>
  </w:style>
  <w:style w:type="paragraph" w:customStyle="1" w:styleId="118">
    <w:name w:val="示例×："/>
    <w:basedOn w:val="56"/>
    <w:qFormat/>
    <w:uiPriority w:val="0"/>
    <w:pPr>
      <w:numPr>
        <w:numId w:val="13"/>
      </w:numPr>
      <w:spacing w:before="0" w:beforeLines="0" w:after="0" w:afterLines="0"/>
      <w:outlineLvl w:val="9"/>
    </w:pPr>
    <w:rPr>
      <w:rFonts w:ascii="宋体" w:eastAsia="宋体"/>
      <w:sz w:val="18"/>
      <w:szCs w:val="18"/>
    </w:rPr>
  </w:style>
  <w:style w:type="paragraph" w:customStyle="1" w:styleId="119">
    <w:name w:val="其他发布部门"/>
    <w:basedOn w:val="85"/>
    <w:qFormat/>
    <w:uiPriority w:val="0"/>
    <w:pPr>
      <w:framePr w:wrap="around" w:y="15310"/>
      <w:spacing w:line="0" w:lineRule="atLeast"/>
    </w:pPr>
    <w:rPr>
      <w:rFonts w:ascii="黑体" w:eastAsia="黑体"/>
      <w:b w:val="0"/>
    </w:rPr>
  </w:style>
  <w:style w:type="paragraph" w:customStyle="1" w:styleId="12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1">
    <w:name w:val="封面标准英文名称2"/>
    <w:basedOn w:val="63"/>
    <w:qFormat/>
    <w:uiPriority w:val="0"/>
    <w:pPr>
      <w:framePr w:wrap="around" w:y="4469"/>
    </w:pPr>
  </w:style>
  <w:style w:type="paragraph" w:customStyle="1" w:styleId="122">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2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4">
    <w:name w:val="其他发布日期"/>
    <w:basedOn w:val="75"/>
    <w:qFormat/>
    <w:uiPriority w:val="0"/>
    <w:pPr>
      <w:framePr w:wrap="around" w:vAnchor="page" w:hAnchor="text" w:x="1419"/>
    </w:pPr>
  </w:style>
  <w:style w:type="paragraph" w:customStyle="1" w:styleId="125">
    <w:name w:val="注×："/>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26">
    <w:name w:val="附录字母编号列项（一级）"/>
    <w:link w:val="157"/>
    <w:qFormat/>
    <w:uiPriority w:val="0"/>
    <w:pPr>
      <w:numPr>
        <w:ilvl w:val="0"/>
        <w:numId w:val="14"/>
      </w:numPr>
    </w:pPr>
    <w:rPr>
      <w:rFonts w:ascii="宋体" w:hAnsi="Times New Roman" w:eastAsia="宋体" w:cs="Times New Roman"/>
      <w:sz w:val="21"/>
      <w:lang w:val="en-US" w:eastAsia="zh-CN" w:bidi="ar-SA"/>
    </w:rPr>
  </w:style>
  <w:style w:type="paragraph" w:customStyle="1" w:styleId="127">
    <w:name w:val="二级无"/>
    <w:basedOn w:val="82"/>
    <w:link w:val="158"/>
    <w:qFormat/>
    <w:uiPriority w:val="0"/>
    <w:pPr>
      <w:spacing w:before="0" w:beforeLines="0" w:after="0" w:afterLines="0"/>
      <w:ind w:left="0"/>
    </w:pPr>
    <w:rPr>
      <w:rFonts w:ascii="宋体" w:eastAsia="宋体"/>
    </w:rPr>
  </w:style>
  <w:style w:type="paragraph" w:customStyle="1" w:styleId="128">
    <w:name w:val="封面标准文稿类别2"/>
    <w:basedOn w:val="61"/>
    <w:qFormat/>
    <w:uiPriority w:val="0"/>
    <w:pPr>
      <w:framePr w:wrap="around" w:y="4469"/>
    </w:pPr>
  </w:style>
  <w:style w:type="paragraph" w:customStyle="1" w:styleId="12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2">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3">
    <w:name w:val="注×：（正文）"/>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34">
    <w:name w:val="附录表标题"/>
    <w:basedOn w:val="1"/>
    <w:next w:val="27"/>
    <w:qFormat/>
    <w:uiPriority w:val="0"/>
    <w:pPr>
      <w:numPr>
        <w:ilvl w:val="1"/>
        <w:numId w:val="17"/>
      </w:numPr>
      <w:tabs>
        <w:tab w:val="left" w:pos="180"/>
      </w:tabs>
      <w:spacing w:before="50" w:beforeLines="50" w:after="50" w:afterLines="50"/>
      <w:ind w:left="0" w:firstLine="0"/>
      <w:jc w:val="center"/>
    </w:pPr>
    <w:rPr>
      <w:rFonts w:ascii="黑体" w:eastAsia="黑体"/>
      <w:szCs w:val="21"/>
    </w:rPr>
  </w:style>
  <w:style w:type="paragraph" w:customStyle="1" w:styleId="135">
    <w:name w:val="附录一级无"/>
    <w:basedOn w:val="136"/>
    <w:link w:val="155"/>
    <w:qFormat/>
    <w:uiPriority w:val="0"/>
    <w:pPr>
      <w:tabs>
        <w:tab w:val="left" w:pos="360"/>
      </w:tabs>
      <w:spacing w:before="0" w:beforeLines="0" w:after="0" w:afterLines="0"/>
    </w:pPr>
    <w:rPr>
      <w:rFonts w:ascii="宋体" w:eastAsia="宋体"/>
      <w:szCs w:val="21"/>
    </w:rPr>
  </w:style>
  <w:style w:type="paragraph" w:customStyle="1" w:styleId="136">
    <w:name w:val="附录一级条标题"/>
    <w:basedOn w:val="87"/>
    <w:next w:val="27"/>
    <w:qFormat/>
    <w:uiPriority w:val="0"/>
    <w:pPr>
      <w:numPr>
        <w:ilvl w:val="0"/>
        <w:numId w:val="0"/>
      </w:numPr>
      <w:autoSpaceDN w:val="0"/>
      <w:spacing w:before="50" w:beforeLines="50" w:after="50" w:afterLines="50"/>
      <w:outlineLvl w:val="2"/>
    </w:pPr>
  </w:style>
  <w:style w:type="paragraph" w:customStyle="1" w:styleId="137">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38">
    <w:name w:val="其他实施日期"/>
    <w:basedOn w:val="74"/>
    <w:qFormat/>
    <w:uiPriority w:val="0"/>
    <w:pPr>
      <w:framePr w:wrap="around"/>
    </w:pPr>
  </w:style>
  <w:style w:type="paragraph" w:customStyle="1" w:styleId="139">
    <w:name w:val="附录图标题"/>
    <w:basedOn w:val="1"/>
    <w:next w:val="27"/>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40">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1">
    <w:name w:val="三级无"/>
    <w:basedOn w:val="81"/>
    <w:link w:val="156"/>
    <w:qFormat/>
    <w:uiPriority w:val="0"/>
    <w:pPr>
      <w:spacing w:before="0" w:beforeLines="0" w:after="0" w:afterLines="0"/>
    </w:pPr>
    <w:rPr>
      <w:rFonts w:ascii="宋体" w:eastAsia="宋体"/>
    </w:rPr>
  </w:style>
  <w:style w:type="paragraph" w:customStyle="1" w:styleId="142">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143">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附录表标号"/>
    <w:basedOn w:val="1"/>
    <w:next w:val="27"/>
    <w:qFormat/>
    <w:uiPriority w:val="0"/>
    <w:pPr>
      <w:numPr>
        <w:ilvl w:val="0"/>
        <w:numId w:val="17"/>
      </w:numPr>
      <w:tabs>
        <w:tab w:val="clear" w:pos="0"/>
      </w:tabs>
      <w:spacing w:line="14" w:lineRule="exact"/>
      <w:ind w:left="811" w:hanging="448"/>
      <w:jc w:val="center"/>
      <w:outlineLvl w:val="0"/>
    </w:pPr>
    <w:rPr>
      <w:color w:val="FFFFFF"/>
    </w:rPr>
  </w:style>
  <w:style w:type="paragraph" w:customStyle="1" w:styleId="146">
    <w:name w:val="正文图标题"/>
    <w:next w:val="27"/>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7">
    <w:name w:val="标准书眉一"/>
    <w:qFormat/>
    <w:uiPriority w:val="0"/>
    <w:pPr>
      <w:jc w:val="both"/>
    </w:pPr>
    <w:rPr>
      <w:rFonts w:ascii="Times New Roman" w:hAnsi="Times New Roman" w:eastAsia="宋体" w:cs="Times New Roman"/>
      <w:lang w:val="en-US" w:eastAsia="zh-CN" w:bidi="ar-SA"/>
    </w:rPr>
  </w:style>
  <w:style w:type="character" w:customStyle="1" w:styleId="148">
    <w:name w:val="批注文字 字符"/>
    <w:link w:val="11"/>
    <w:qFormat/>
    <w:uiPriority w:val="0"/>
    <w:rPr>
      <w:kern w:val="2"/>
      <w:sz w:val="21"/>
      <w:szCs w:val="24"/>
    </w:rPr>
  </w:style>
  <w:style w:type="character" w:customStyle="1" w:styleId="149">
    <w:name w:val="cf01"/>
    <w:basedOn w:val="39"/>
    <w:qFormat/>
    <w:uiPriority w:val="0"/>
    <w:rPr>
      <w:rFonts w:ascii="Microsoft YaHei UI" w:hAnsi="Microsoft YaHei UI" w:eastAsia="Microsoft YaHei UI" w:cs="Microsoft YaHei UI"/>
      <w:sz w:val="18"/>
      <w:szCs w:val="18"/>
    </w:rPr>
  </w:style>
  <w:style w:type="character" w:customStyle="1" w:styleId="150">
    <w:name w:val="font21"/>
    <w:basedOn w:val="39"/>
    <w:qFormat/>
    <w:uiPriority w:val="0"/>
    <w:rPr>
      <w:rFonts w:ascii="宋体" w:hAnsi="宋体" w:eastAsia="宋体" w:cs="宋体"/>
      <w:b/>
      <w:bCs/>
      <w:color w:val="000000"/>
      <w:sz w:val="26"/>
      <w:szCs w:val="26"/>
      <w:u w:val="none"/>
    </w:rPr>
  </w:style>
  <w:style w:type="character" w:customStyle="1" w:styleId="151">
    <w:name w:val="font01"/>
    <w:basedOn w:val="39"/>
    <w:qFormat/>
    <w:uiPriority w:val="0"/>
    <w:rPr>
      <w:rFonts w:ascii="宋体" w:hAnsi="宋体" w:eastAsia="宋体" w:cs="宋体"/>
      <w:color w:val="000000"/>
      <w:sz w:val="26"/>
      <w:szCs w:val="26"/>
      <w:u w:val="none"/>
    </w:rPr>
  </w:style>
  <w:style w:type="character" w:customStyle="1" w:styleId="152">
    <w:name w:val="font31"/>
    <w:basedOn w:val="39"/>
    <w:qFormat/>
    <w:uiPriority w:val="0"/>
    <w:rPr>
      <w:rFonts w:hint="eastAsia" w:ascii="宋体" w:hAnsi="宋体" w:eastAsia="宋体" w:cs="宋体"/>
      <w:b/>
      <w:bCs/>
      <w:color w:val="000000"/>
      <w:sz w:val="22"/>
      <w:szCs w:val="22"/>
      <w:u w:val="none"/>
    </w:rPr>
  </w:style>
  <w:style w:type="character" w:customStyle="1" w:styleId="153">
    <w:name w:val="附录四级无 Char"/>
    <w:link w:val="113"/>
    <w:qFormat/>
    <w:uiPriority w:val="0"/>
    <w:rPr>
      <w:rFonts w:ascii="宋体" w:eastAsia="宋体"/>
      <w:szCs w:val="21"/>
    </w:rPr>
  </w:style>
  <w:style w:type="character" w:customStyle="1" w:styleId="154">
    <w:name w:val="一级条标题 Char"/>
    <w:link w:val="83"/>
    <w:qFormat/>
    <w:uiPriority w:val="0"/>
    <w:rPr>
      <w:rFonts w:ascii="黑体" w:hAnsi="Times New Roman" w:eastAsia="黑体" w:cs="Times New Roman"/>
      <w:sz w:val="21"/>
      <w:szCs w:val="21"/>
      <w:lang w:val="en-US" w:eastAsia="zh-CN" w:bidi="ar-SA"/>
    </w:rPr>
  </w:style>
  <w:style w:type="character" w:customStyle="1" w:styleId="155">
    <w:name w:val="附录一级无 Char"/>
    <w:link w:val="135"/>
    <w:qFormat/>
    <w:uiPriority w:val="0"/>
    <w:rPr>
      <w:rFonts w:ascii="宋体" w:eastAsia="宋体"/>
      <w:szCs w:val="21"/>
    </w:rPr>
  </w:style>
  <w:style w:type="character" w:customStyle="1" w:styleId="156">
    <w:name w:val="三级无 Char"/>
    <w:link w:val="141"/>
    <w:qFormat/>
    <w:uiPriority w:val="0"/>
    <w:rPr>
      <w:rFonts w:ascii="宋体" w:eastAsia="宋体"/>
    </w:rPr>
  </w:style>
  <w:style w:type="character" w:customStyle="1" w:styleId="157">
    <w:name w:val="附录字母编号列项（一级） Char"/>
    <w:link w:val="126"/>
    <w:qFormat/>
    <w:uiPriority w:val="0"/>
    <w:rPr>
      <w:rFonts w:ascii="宋体" w:hAnsi="Times New Roman" w:eastAsia="宋体" w:cs="Times New Roman"/>
      <w:sz w:val="21"/>
      <w:lang w:val="en-US" w:eastAsia="zh-CN" w:bidi="ar-SA"/>
    </w:rPr>
  </w:style>
  <w:style w:type="character" w:customStyle="1" w:styleId="158">
    <w:name w:val="二级无 Char"/>
    <w:link w:val="127"/>
    <w:qFormat/>
    <w:uiPriority w:val="0"/>
    <w:rPr>
      <w:rFonts w:ascii="宋体" w:eastAsia="宋体"/>
    </w:rPr>
  </w:style>
  <w:style w:type="character" w:customStyle="1" w:styleId="159">
    <w:name w:val="注： Char"/>
    <w:link w:val="73"/>
    <w:qFormat/>
    <w:uiPriority w:val="0"/>
    <w:rPr>
      <w:rFonts w:ascii="宋体" w:hAnsi="Times New Roman" w:eastAsia="宋体" w:cs="Times New Roman"/>
      <w:sz w:val="18"/>
      <w:szCs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zle</Company>
  <Pages>22</Pages>
  <Words>10280</Words>
  <Characters>11795</Characters>
  <Lines>76</Lines>
  <Paragraphs>21</Paragraphs>
  <TotalTime>25</TotalTime>
  <ScaleCrop>false</ScaleCrop>
  <LinksUpToDate>false</LinksUpToDate>
  <CharactersWithSpaces>12172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2023-09-25T23:29:00Z</dcterms:created>
  <dc:creator>CNIS</dc:creator>
  <cp:lastModifiedBy>游钦凉</cp:lastModifiedBy>
  <cp:lastPrinted>2019-10-09T00:18:00Z</cp:lastPrinted>
  <dcterms:modified xsi:type="dcterms:W3CDTF">2025-09-15T02:49:07Z</dcterms:modified>
  <dc:title>标准名称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F6D37ABFFBEB4BBBA0AE7A0191A06D14_13</vt:lpwstr>
  </property>
  <property fmtid="{D5CDD505-2E9C-101B-9397-08002B2CF9AE}" pid="4" name="KSOTemplateDocerSaveRecord">
    <vt:lpwstr>eyJoZGlkIjoiMjdlZDgyOTQyNjFjNTk3MWVlYTY0NzMzZGMxODZkODYiLCJ1c2VySWQiOiIxNTY4NTU3MDQ2In0=</vt:lpwstr>
  </property>
</Properties>
</file>